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9D" w:rsidRPr="00A12EC7" w:rsidRDefault="00A12EC7" w:rsidP="004104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АКТУАЛНИ ВЪПРОСИ</w:t>
      </w:r>
      <w:r w:rsidR="0041049D" w:rsidRPr="00E92CFD">
        <w:rPr>
          <w:rFonts w:ascii="Times New Roman" w:hAnsi="Times New Roman" w:cs="Times New Roman"/>
          <w:b/>
          <w:sz w:val="28"/>
          <w:szCs w:val="28"/>
        </w:rPr>
        <w:t xml:space="preserve"> ПРЕД </w:t>
      </w:r>
      <w:r>
        <w:rPr>
          <w:rFonts w:ascii="Times New Roman" w:hAnsi="Times New Roman" w:cs="Times New Roman"/>
          <w:b/>
          <w:sz w:val="28"/>
          <w:szCs w:val="28"/>
        </w:rPr>
        <w:t>ПАЗАРА НА РИСКОВ КАПИТАЛ</w:t>
      </w:r>
      <w:r w:rsidR="0041049D" w:rsidRPr="00E92CFD">
        <w:rPr>
          <w:rFonts w:ascii="Times New Roman" w:hAnsi="Times New Roman" w:cs="Times New Roman"/>
          <w:b/>
          <w:sz w:val="28"/>
          <w:szCs w:val="28"/>
        </w:rPr>
        <w:t xml:space="preserve"> В ЕВРОПА</w:t>
      </w:r>
    </w:p>
    <w:p w:rsidR="00BF6A3F" w:rsidRPr="00E92CFD" w:rsidRDefault="00BF6A3F" w:rsidP="00E92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9D" w:rsidRPr="0041049D" w:rsidRDefault="0041049D" w:rsidP="00E92CFD">
      <w:pPr>
        <w:jc w:val="both"/>
        <w:rPr>
          <w:rFonts w:ascii="Times New Roman" w:hAnsi="Times New Roman" w:cs="Times New Roman"/>
          <w:sz w:val="24"/>
          <w:szCs w:val="24"/>
        </w:rPr>
      </w:pPr>
      <w:r w:rsidRPr="00A12EC7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41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C7" w:rsidRPr="008C0D97">
        <w:rPr>
          <w:rFonts w:ascii="Times New Roman" w:hAnsi="Times New Roman" w:cs="Times New Roman"/>
          <w:i/>
          <w:sz w:val="24"/>
          <w:szCs w:val="24"/>
        </w:rPr>
        <w:t>Настоящата статия</w:t>
      </w:r>
      <w:r w:rsidRPr="008C0D97">
        <w:rPr>
          <w:rFonts w:ascii="Times New Roman" w:hAnsi="Times New Roman" w:cs="Times New Roman"/>
          <w:i/>
          <w:sz w:val="24"/>
          <w:szCs w:val="24"/>
        </w:rPr>
        <w:t xml:space="preserve"> разглежда активността на рисковите инвестиции в Европа, в </w:t>
      </w:r>
      <w:proofErr w:type="spellStart"/>
      <w:r w:rsidRPr="008C0D97">
        <w:rPr>
          <w:rFonts w:ascii="Times New Roman" w:hAnsi="Times New Roman" w:cs="Times New Roman"/>
          <w:i/>
          <w:sz w:val="24"/>
          <w:szCs w:val="24"/>
        </w:rPr>
        <w:t>следк</w:t>
      </w:r>
      <w:r w:rsidR="001C5FA7" w:rsidRPr="008C0D97">
        <w:rPr>
          <w:rFonts w:ascii="Times New Roman" w:hAnsi="Times New Roman" w:cs="Times New Roman"/>
          <w:i/>
          <w:sz w:val="24"/>
          <w:szCs w:val="24"/>
        </w:rPr>
        <w:t>ризисния</w:t>
      </w:r>
      <w:proofErr w:type="spellEnd"/>
      <w:r w:rsidR="001C5FA7" w:rsidRPr="008C0D97">
        <w:rPr>
          <w:rFonts w:ascii="Times New Roman" w:hAnsi="Times New Roman" w:cs="Times New Roman"/>
          <w:i/>
          <w:sz w:val="24"/>
          <w:szCs w:val="24"/>
        </w:rPr>
        <w:t xml:space="preserve"> период (2007-2013 г.).</w:t>
      </w:r>
      <w:r w:rsidRPr="008C0D97">
        <w:rPr>
          <w:rFonts w:ascii="Times New Roman" w:hAnsi="Times New Roman" w:cs="Times New Roman"/>
          <w:i/>
          <w:sz w:val="24"/>
          <w:szCs w:val="24"/>
        </w:rPr>
        <w:t xml:space="preserve"> Разгледани са три аспекта от дейността на рисковите капиталисти: 1) размерът на набраното финансиране от фондовете за рисков капитал и динамиката в структурата на основните източници на капитал според типа инвеститори; 2) наблюдаваните тенденции по отношение на размер, поредност на инвестицията и предпочитани сектори от икономиката; 3) възможните  варианти за изход от инвестицията и размерът на реализираната доходност. Представена е и текущата картина на рисковите инвестиции в България.</w:t>
      </w:r>
      <w:r w:rsidRPr="0041049D">
        <w:rPr>
          <w:rFonts w:ascii="Times New Roman" w:hAnsi="Times New Roman" w:cs="Times New Roman"/>
          <w:sz w:val="24"/>
          <w:szCs w:val="24"/>
        </w:rPr>
        <w:t xml:space="preserve"> </w:t>
      </w:r>
      <w:r w:rsidR="00292E5B">
        <w:rPr>
          <w:rFonts w:ascii="Times New Roman" w:hAnsi="Times New Roman" w:cs="Times New Roman"/>
          <w:sz w:val="24"/>
          <w:szCs w:val="24"/>
        </w:rPr>
        <w:t xml:space="preserve"> </w:t>
      </w:r>
      <w:r w:rsidRPr="0041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9D" w:rsidRPr="0041049D" w:rsidRDefault="0041049D" w:rsidP="0041049D">
      <w:pPr>
        <w:rPr>
          <w:rFonts w:ascii="Times New Roman" w:hAnsi="Times New Roman" w:cs="Times New Roman"/>
          <w:sz w:val="24"/>
          <w:szCs w:val="24"/>
        </w:rPr>
      </w:pPr>
      <w:r w:rsidRPr="00A12EC7">
        <w:rPr>
          <w:rFonts w:ascii="Times New Roman" w:hAnsi="Times New Roman" w:cs="Times New Roman"/>
          <w:b/>
          <w:sz w:val="24"/>
          <w:szCs w:val="24"/>
        </w:rPr>
        <w:t>Ключови думи</w:t>
      </w:r>
      <w:r w:rsidRPr="00BA560B">
        <w:rPr>
          <w:rFonts w:ascii="Times New Roman" w:hAnsi="Times New Roman" w:cs="Times New Roman"/>
          <w:sz w:val="24"/>
          <w:szCs w:val="24"/>
        </w:rPr>
        <w:t>:</w:t>
      </w:r>
      <w:r w:rsidR="00E92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049D">
        <w:rPr>
          <w:rFonts w:ascii="Times New Roman" w:hAnsi="Times New Roman" w:cs="Times New Roman"/>
          <w:sz w:val="24"/>
          <w:szCs w:val="24"/>
        </w:rPr>
        <w:t>финансиране, рисков капитал, изход от инвестицията</w:t>
      </w:r>
    </w:p>
    <w:p w:rsidR="0041049D" w:rsidRPr="00E92CFD" w:rsidRDefault="00E92CFD" w:rsidP="00A27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EC7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A12EC7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A12E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2CFD">
        <w:rPr>
          <w:rFonts w:ascii="Times New Roman" w:hAnsi="Times New Roman" w:cs="Times New Roman"/>
          <w:sz w:val="24"/>
          <w:szCs w:val="24"/>
          <w:lang w:val="en-US"/>
        </w:rPr>
        <w:t>G24, G32, G34</w:t>
      </w:r>
    </w:p>
    <w:p w:rsidR="0041049D" w:rsidRDefault="0041049D" w:rsidP="00A271FD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92CFD" w:rsidRPr="00E92CFD" w:rsidRDefault="00E92CFD" w:rsidP="00E92C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CFD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E92CF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="00B13D4D" w:rsidRPr="008C0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aim of this working paper is to </w:t>
      </w:r>
      <w:proofErr w:type="spellStart"/>
      <w:r w:rsidR="00B13D4D" w:rsidRPr="008C0D97">
        <w:rPr>
          <w:rFonts w:ascii="Times New Roman" w:hAnsi="Times New Roman" w:cs="Times New Roman"/>
          <w:i/>
          <w:sz w:val="24"/>
          <w:szCs w:val="24"/>
        </w:rPr>
        <w:t>examine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activity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risky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investments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post-crisis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period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(2007-2013).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Examined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D4D" w:rsidRPr="008C0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venture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capitalists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: 1)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amount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accumulated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fund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venture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capital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funds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structure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dynamics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sources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capital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investors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; 2)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observed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trends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terms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size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order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preference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investment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sectors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economy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; 3)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options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exit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investment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amount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Fund's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presented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current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picture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risky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investments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A560B" w:rsidRPr="008C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60B" w:rsidRPr="008C0D97">
        <w:rPr>
          <w:rFonts w:ascii="Times New Roman" w:hAnsi="Times New Roman" w:cs="Times New Roman"/>
          <w:i/>
          <w:sz w:val="24"/>
          <w:szCs w:val="24"/>
        </w:rPr>
        <w:t>Bulgaria</w:t>
      </w:r>
      <w:proofErr w:type="spellEnd"/>
      <w:r w:rsidR="00292E5B" w:rsidRPr="008C0D97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:rsidR="00E92CFD" w:rsidRPr="00E92CFD" w:rsidRDefault="00E92CFD" w:rsidP="00E92C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CFD">
        <w:rPr>
          <w:rFonts w:ascii="Times New Roman" w:hAnsi="Times New Roman" w:cs="Times New Roman"/>
          <w:sz w:val="24"/>
          <w:szCs w:val="24"/>
        </w:rPr>
        <w:t xml:space="preserve">Key </w:t>
      </w:r>
      <w:proofErr w:type="spellStart"/>
      <w:r w:rsidRPr="00E92CF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92C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financing, venture capital, exit of investment</w:t>
      </w:r>
    </w:p>
    <w:p w:rsidR="00E92CFD" w:rsidRPr="00E92CFD" w:rsidRDefault="00E92CFD" w:rsidP="00E92C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CFD">
        <w:rPr>
          <w:rFonts w:ascii="Times New Roman" w:hAnsi="Times New Roman" w:cs="Times New Roman"/>
          <w:sz w:val="24"/>
          <w:szCs w:val="24"/>
        </w:rPr>
        <w:t xml:space="preserve">JEL </w:t>
      </w:r>
      <w:proofErr w:type="spellStart"/>
      <w:r w:rsidRPr="00E92CFD"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92CFD">
        <w:rPr>
          <w:rFonts w:ascii="Times New Roman" w:hAnsi="Times New Roman" w:cs="Times New Roman"/>
          <w:sz w:val="24"/>
          <w:szCs w:val="24"/>
          <w:lang w:val="en-US"/>
        </w:rPr>
        <w:t>G24, G32, G34</w:t>
      </w:r>
    </w:p>
    <w:p w:rsidR="0041049D" w:rsidRDefault="0041049D" w:rsidP="00A271FD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1049D" w:rsidRDefault="00C73619" w:rsidP="00F0622D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C73619">
        <w:rPr>
          <w:rFonts w:ascii="TimesNewRoman" w:hAnsi="TimesNewRoman" w:cs="TimesNewRoman"/>
          <w:sz w:val="24"/>
          <w:szCs w:val="24"/>
        </w:rPr>
        <w:t xml:space="preserve">Финансирането с рисков капитал е  инвестиция </w:t>
      </w:r>
      <w:r w:rsidR="00D7202C">
        <w:rPr>
          <w:rFonts w:ascii="TimesNewRoman" w:hAnsi="TimesNewRoman" w:cs="TimesNewRoman"/>
          <w:sz w:val="24"/>
          <w:szCs w:val="24"/>
        </w:rPr>
        <w:t xml:space="preserve">предимно </w:t>
      </w:r>
      <w:r w:rsidRPr="00C73619">
        <w:rPr>
          <w:rFonts w:ascii="TimesNewRoman" w:hAnsi="TimesNewRoman" w:cs="TimesNewRoman"/>
          <w:sz w:val="24"/>
          <w:szCs w:val="24"/>
        </w:rPr>
        <w:t xml:space="preserve">в собствен капитал, осъществена от професионално управлявани инвестиционни фондове </w:t>
      </w:r>
      <w:r>
        <w:rPr>
          <w:rFonts w:ascii="TimesNewRoman" w:hAnsi="TimesNewRoman" w:cs="TimesNewRoman"/>
          <w:sz w:val="24"/>
          <w:szCs w:val="24"/>
        </w:rPr>
        <w:t>(фондове за рисков капитал)</w:t>
      </w:r>
      <w:r w:rsidRPr="00C73619">
        <w:rPr>
          <w:rFonts w:ascii="TimesNewRoman" w:hAnsi="TimesNewRoman" w:cs="TimesNewRoman"/>
          <w:sz w:val="24"/>
          <w:szCs w:val="24"/>
        </w:rPr>
        <w:t>, осигу</w:t>
      </w:r>
      <w:r>
        <w:rPr>
          <w:rFonts w:ascii="TimesNewRoman" w:hAnsi="TimesNewRoman" w:cs="TimesNewRoman"/>
          <w:sz w:val="24"/>
          <w:szCs w:val="24"/>
        </w:rPr>
        <w:t xml:space="preserve">ряващи стартово финансиране, </w:t>
      </w:r>
      <w:r w:rsidRPr="00B43B87">
        <w:rPr>
          <w:rFonts w:ascii="TimesNewRoman" w:hAnsi="TimesNewRoman" w:cs="TimesNewRoman"/>
          <w:sz w:val="24"/>
          <w:szCs w:val="24"/>
        </w:rPr>
        <w:t xml:space="preserve">предназначено за разработване, оценяване и развитие на бизнес идеята; капитал за развитие на продукта и иницииране на маркетингова дейност, както </w:t>
      </w:r>
      <w:r w:rsidR="001C5FA7">
        <w:rPr>
          <w:rFonts w:ascii="TimesNewRoman" w:hAnsi="TimesNewRoman" w:cs="TimesNewRoman"/>
          <w:sz w:val="24"/>
          <w:szCs w:val="24"/>
        </w:rPr>
        <w:t xml:space="preserve">и </w:t>
      </w:r>
      <w:r>
        <w:rPr>
          <w:rFonts w:ascii="TimesNewRoman" w:hAnsi="TimesNewRoman" w:cs="TimesNewRoman"/>
          <w:sz w:val="24"/>
          <w:szCs w:val="24"/>
        </w:rPr>
        <w:t xml:space="preserve">средства за изкупуване </w:t>
      </w:r>
      <w:r w:rsidR="00D7202C">
        <w:rPr>
          <w:rFonts w:ascii="TimesNewRoman" w:hAnsi="TimesNewRoman" w:cs="TimesNewRoman"/>
          <w:sz w:val="24"/>
          <w:szCs w:val="24"/>
        </w:rPr>
        <w:t xml:space="preserve">и реструктуриране </w:t>
      </w:r>
      <w:r>
        <w:rPr>
          <w:rFonts w:ascii="TimesNewRoman" w:hAnsi="TimesNewRoman" w:cs="TimesNewRoman"/>
          <w:sz w:val="24"/>
          <w:szCs w:val="24"/>
        </w:rPr>
        <w:t>на</w:t>
      </w:r>
      <w:r w:rsidR="00B43B87">
        <w:rPr>
          <w:rFonts w:ascii="TimesNewRoman" w:hAnsi="TimesNewRoman" w:cs="TimesNewRoman"/>
          <w:sz w:val="24"/>
          <w:szCs w:val="24"/>
        </w:rPr>
        <w:t xml:space="preserve"> зрели компании</w:t>
      </w:r>
      <w:r w:rsidR="00A4685F">
        <w:rPr>
          <w:rStyle w:val="FootnoteReference"/>
          <w:rFonts w:ascii="TimesNewRoman" w:hAnsi="TimesNewRoman" w:cs="TimesNewRoman"/>
          <w:sz w:val="24"/>
          <w:szCs w:val="24"/>
        </w:rPr>
        <w:footnoteReference w:id="1"/>
      </w:r>
      <w:r w:rsidRPr="00C73619">
        <w:rPr>
          <w:rFonts w:ascii="TimesNewRoman" w:hAnsi="TimesNewRoman" w:cs="TimesNewRoman"/>
          <w:sz w:val="24"/>
          <w:szCs w:val="24"/>
        </w:rPr>
        <w:t xml:space="preserve">.  Пазарът на рисков капитал осигурява критична връзка между финанси и иновации, като обезпечава достъп до капитал на компании на най-ранните етапи от  тяхното развитие, когато нивото на </w:t>
      </w:r>
      <w:proofErr w:type="spellStart"/>
      <w:r w:rsidRPr="00C73619">
        <w:rPr>
          <w:rFonts w:ascii="TimesNewRoman" w:hAnsi="TimesNewRoman" w:cs="TimesNewRoman"/>
          <w:sz w:val="24"/>
          <w:szCs w:val="24"/>
        </w:rPr>
        <w:t>асоциирианият</w:t>
      </w:r>
      <w:proofErr w:type="spellEnd"/>
      <w:r w:rsidRPr="00C73619">
        <w:rPr>
          <w:rFonts w:ascii="TimesNewRoman" w:hAnsi="TimesNewRoman" w:cs="TimesNewRoman"/>
          <w:sz w:val="24"/>
          <w:szCs w:val="24"/>
        </w:rPr>
        <w:t xml:space="preserve"> риск е най-висок.</w:t>
      </w:r>
    </w:p>
    <w:p w:rsidR="002B2744" w:rsidRDefault="002B2744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67">
        <w:rPr>
          <w:rFonts w:ascii="Times New Roman" w:hAnsi="Times New Roman" w:cs="Times New Roman"/>
          <w:sz w:val="24"/>
          <w:szCs w:val="24"/>
        </w:rPr>
        <w:lastRenderedPageBreak/>
        <w:t>Две явления управляват икономиката на инвестиционните фондове: първо,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динамичното развитие на сектора на пенсионните фондове предизвика систематично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увеличение на стойността на капитала, насочван от инвеститорите към фондовете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рисков капитал и дялово участие). Правилата, на които се подчинява разпределението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на инвестиционния риск в инвестиционния портфейл, обаче означават, че оптималният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инвестиционен портфейл на фонд за рисков капитал трябва да се състои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8 до 12 дружества. Ако инвестициите са по-малко на брой, се увеличава рискът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общия портфейл, а по-големият им брой повишава разходите за наблюдение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портфейла. Комбинираният ефект от нарастващото предлагане на капитал и правилото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за оптимизиране на портфейла неизбежно води до трайна тенденция към растеж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размера на фондовете и на свой ред налага увеличение на стойността на отделните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инвестиции в дружество, съставляващо част от портфейла. В крайна сметка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увеличението на пенсионните спестявания (дългосрочни спестявания) предизвика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пренасочване на инвестициите от сектора на рисковия капитал към капитала за дялово</w:t>
      </w:r>
      <w:r>
        <w:rPr>
          <w:rFonts w:ascii="Times New Roman" w:hAnsi="Times New Roman" w:cs="Times New Roman"/>
          <w:sz w:val="24"/>
          <w:szCs w:val="24"/>
        </w:rPr>
        <w:t xml:space="preserve"> участие.</w:t>
      </w:r>
    </w:p>
    <w:p w:rsidR="002B2744" w:rsidRPr="00DD4067" w:rsidRDefault="002B2744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67">
        <w:rPr>
          <w:rFonts w:ascii="Times New Roman" w:hAnsi="Times New Roman" w:cs="Times New Roman"/>
          <w:sz w:val="24"/>
          <w:szCs w:val="24"/>
        </w:rPr>
        <w:t>Второто явление е свързано с начина на възнаграждение на управителите на фондовете,</w:t>
      </w:r>
      <w:r>
        <w:rPr>
          <w:rFonts w:ascii="Times New Roman" w:hAnsi="Times New Roman" w:cs="Times New Roman"/>
          <w:sz w:val="24"/>
          <w:szCs w:val="24"/>
        </w:rPr>
        <w:t xml:space="preserve"> доколкото</w:t>
      </w:r>
      <w:r w:rsidRPr="00DD4067">
        <w:rPr>
          <w:rFonts w:ascii="Times New Roman" w:hAnsi="Times New Roman" w:cs="Times New Roman"/>
          <w:sz w:val="24"/>
          <w:szCs w:val="24"/>
        </w:rPr>
        <w:t xml:space="preserve"> те получават процент от стойността на </w:t>
      </w:r>
      <w:r>
        <w:rPr>
          <w:rFonts w:ascii="Times New Roman" w:hAnsi="Times New Roman" w:cs="Times New Roman"/>
          <w:sz w:val="24"/>
          <w:szCs w:val="24"/>
        </w:rPr>
        <w:t>капитала под управление.</w:t>
      </w:r>
      <w:r w:rsidRPr="00DD4067">
        <w:rPr>
          <w:rFonts w:ascii="Times New Roman" w:hAnsi="Times New Roman" w:cs="Times New Roman"/>
          <w:sz w:val="24"/>
          <w:szCs w:val="24"/>
        </w:rPr>
        <w:t xml:space="preserve"> Такава схема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възнаграждение означава, че колкото по-голям е фондът, толкова по-голяма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стойността на възнаграждението. Това означава, че на дадена уп</w:t>
      </w:r>
      <w:r>
        <w:rPr>
          <w:rFonts w:ascii="Times New Roman" w:hAnsi="Times New Roman" w:cs="Times New Roman"/>
          <w:sz w:val="24"/>
          <w:szCs w:val="24"/>
        </w:rPr>
        <w:t xml:space="preserve">равленска група е по-изгодно </w:t>
      </w:r>
      <w:r w:rsidRPr="00DD4067">
        <w:rPr>
          <w:rFonts w:ascii="Times New Roman" w:hAnsi="Times New Roman" w:cs="Times New Roman"/>
          <w:sz w:val="24"/>
          <w:szCs w:val="24"/>
        </w:rPr>
        <w:t>да използва фонд за дялово участие (голям), отколкото фонд за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капитал (малък), при който инвестиционният риск и разходите за управление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значително по-високи. Тези две явления означават, че пазарът на рисков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относително отслабва (расте по-бавно), защото капиталът е склонен да се насочва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по-големи фондове и инвестиции, които в същото време отговарят на интересите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опортюнистично настроените управители на фондове.</w:t>
      </w:r>
    </w:p>
    <w:p w:rsidR="00A271FD" w:rsidRDefault="00A271FD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Пазарът</w:t>
      </w:r>
      <w:r w:rsidRPr="00A271FD">
        <w:rPr>
          <w:rFonts w:ascii="TimesNewRoman" w:hAnsi="TimesNewRoman" w:cs="TimesNewRoman"/>
          <w:sz w:val="24"/>
          <w:szCs w:val="24"/>
        </w:rPr>
        <w:t xml:space="preserve"> на рисков капитал в Европа </w:t>
      </w:r>
      <w:r w:rsidR="003B3700">
        <w:rPr>
          <w:rFonts w:ascii="TimesNewRoman" w:hAnsi="TimesNewRoman" w:cs="TimesNewRoman"/>
          <w:sz w:val="24"/>
          <w:szCs w:val="24"/>
        </w:rPr>
        <w:t xml:space="preserve">е по-малък </w:t>
      </w:r>
      <w:r w:rsidRPr="00A271FD">
        <w:rPr>
          <w:rFonts w:ascii="TimesNewRoman" w:hAnsi="TimesNewRoman" w:cs="TimesNewRoman"/>
          <w:sz w:val="24"/>
          <w:szCs w:val="24"/>
        </w:rPr>
        <w:t xml:space="preserve">в </w:t>
      </w:r>
      <w:r w:rsidR="003B3700">
        <w:rPr>
          <w:rFonts w:ascii="TimesNewRoman" w:hAnsi="TimesNewRoman" w:cs="TimesNewRoman"/>
          <w:sz w:val="24"/>
          <w:szCs w:val="24"/>
        </w:rPr>
        <w:t>сравнение с американския пазар, р</w:t>
      </w:r>
      <w:r w:rsidRPr="00A271FD">
        <w:rPr>
          <w:rFonts w:ascii="TimesNewRoman" w:hAnsi="TimesNewRoman" w:cs="TimesNewRoman"/>
          <w:sz w:val="24"/>
          <w:szCs w:val="24"/>
        </w:rPr>
        <w:t>аздробен е на отделни национални пазари и няма единни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правила. Само няколко държави членки имат специални режими относно фондовете за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рисков капитал, с правила за състава на портфейла, инвестиционните техники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допустимите инвестиционни цели. Това означава, че за доставчиците на капитал като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индивидуалните клиенти, пенсионните фондове и застрахователните компании,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насочването на инвестиции към фондовете за рисков капитал е трудно и скъпо</w:t>
      </w:r>
      <w:r w:rsidR="003B3700">
        <w:rPr>
          <w:rFonts w:ascii="TimesNewRoman" w:hAnsi="TimesNewRoman" w:cs="TimesNewRoman"/>
          <w:sz w:val="24"/>
          <w:szCs w:val="24"/>
        </w:rPr>
        <w:t xml:space="preserve"> струващо </w:t>
      </w:r>
      <w:r w:rsidRPr="00A271FD">
        <w:rPr>
          <w:rFonts w:ascii="TimesNewRoman" w:hAnsi="TimesNewRoman" w:cs="TimesNewRoman"/>
          <w:sz w:val="24"/>
          <w:szCs w:val="24"/>
        </w:rPr>
        <w:t>начинание.</w:t>
      </w:r>
    </w:p>
    <w:p w:rsidR="0053550E" w:rsidRDefault="0053550E" w:rsidP="00F0622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5D2">
        <w:rPr>
          <w:rFonts w:ascii="Times New Roman" w:hAnsi="Times New Roman" w:cs="Times New Roman"/>
          <w:sz w:val="24"/>
          <w:szCs w:val="24"/>
        </w:rPr>
        <w:t xml:space="preserve">2013 </w:t>
      </w:r>
      <w:r w:rsidR="004D2E2F">
        <w:rPr>
          <w:rFonts w:ascii="Times New Roman" w:hAnsi="Times New Roman" w:cs="Times New Roman"/>
          <w:sz w:val="24"/>
          <w:szCs w:val="24"/>
        </w:rPr>
        <w:t xml:space="preserve">година бе </w:t>
      </w:r>
      <w:r>
        <w:rPr>
          <w:rFonts w:ascii="Times New Roman" w:hAnsi="Times New Roman" w:cs="Times New Roman"/>
          <w:sz w:val="24"/>
          <w:szCs w:val="24"/>
        </w:rPr>
        <w:t>повратна</w:t>
      </w:r>
      <w:r w:rsidR="00BF6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индустрията </w:t>
      </w:r>
      <w:r w:rsidR="004D2E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Европейския рисков капитал</w:t>
      </w:r>
      <w:r w:rsidRPr="00B26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B4">
        <w:rPr>
          <w:rFonts w:ascii="Times New Roman" w:hAnsi="Times New Roman" w:cs="Times New Roman"/>
          <w:sz w:val="24"/>
          <w:szCs w:val="24"/>
        </w:rPr>
        <w:t>Размерът на мобилизираните фондове се увеличи с 2,18</w:t>
      </w:r>
      <w:r w:rsidR="00487196">
        <w:rPr>
          <w:rFonts w:ascii="Times New Roman" w:hAnsi="Times New Roman" w:cs="Times New Roman"/>
          <w:sz w:val="24"/>
          <w:szCs w:val="24"/>
        </w:rPr>
        <w:t xml:space="preserve"> пъти спрямо предходната година, като </w:t>
      </w:r>
      <w:r w:rsidR="00487196">
        <w:rPr>
          <w:rFonts w:ascii="Times New Roman" w:hAnsi="Times New Roman" w:cs="Times New Roman"/>
          <w:sz w:val="24"/>
          <w:szCs w:val="24"/>
        </w:rPr>
        <w:lastRenderedPageBreak/>
        <w:t xml:space="preserve">достигна 67 % от </w:t>
      </w:r>
      <w:proofErr w:type="spellStart"/>
      <w:r w:rsidR="00487196">
        <w:rPr>
          <w:rFonts w:ascii="Times New Roman" w:hAnsi="Times New Roman" w:cs="Times New Roman"/>
          <w:sz w:val="24"/>
          <w:szCs w:val="24"/>
        </w:rPr>
        <w:t>предкризисните</w:t>
      </w:r>
      <w:proofErr w:type="spellEnd"/>
      <w:r w:rsidR="00487196">
        <w:rPr>
          <w:rFonts w:ascii="Times New Roman" w:hAnsi="Times New Roman" w:cs="Times New Roman"/>
          <w:sz w:val="24"/>
          <w:szCs w:val="24"/>
        </w:rPr>
        <w:t xml:space="preserve"> нива, </w:t>
      </w:r>
      <w:r w:rsidR="00F453C8">
        <w:rPr>
          <w:rFonts w:ascii="Times New Roman" w:hAnsi="Times New Roman" w:cs="Times New Roman"/>
          <w:sz w:val="24"/>
          <w:szCs w:val="24"/>
        </w:rPr>
        <w:t xml:space="preserve">докато </w:t>
      </w:r>
      <w:r w:rsidRPr="00B2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размерът</w:t>
      </w:r>
      <w:r w:rsidRPr="00B265D2">
        <w:rPr>
          <w:rFonts w:ascii="Times New Roman" w:hAnsi="Times New Roman" w:cs="Times New Roman"/>
          <w:sz w:val="24"/>
          <w:szCs w:val="24"/>
        </w:rPr>
        <w:t xml:space="preserve"> н</w:t>
      </w:r>
      <w:r w:rsidR="00A619B4">
        <w:rPr>
          <w:rFonts w:ascii="Times New Roman" w:hAnsi="Times New Roman" w:cs="Times New Roman"/>
          <w:sz w:val="24"/>
          <w:szCs w:val="24"/>
        </w:rPr>
        <w:t xml:space="preserve">а инвестициите </w:t>
      </w:r>
      <w:r w:rsidR="00F453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453C8">
        <w:rPr>
          <w:rFonts w:ascii="Times New Roman" w:hAnsi="Times New Roman" w:cs="Times New Roman"/>
          <w:sz w:val="24"/>
          <w:szCs w:val="24"/>
        </w:rPr>
        <w:t>портфейлни</w:t>
      </w:r>
      <w:proofErr w:type="spellEnd"/>
      <w:r w:rsidR="00F453C8">
        <w:rPr>
          <w:rFonts w:ascii="Times New Roman" w:hAnsi="Times New Roman" w:cs="Times New Roman"/>
          <w:sz w:val="24"/>
          <w:szCs w:val="24"/>
        </w:rPr>
        <w:t xml:space="preserve"> компании се запазва на нива около 37,7 </w:t>
      </w:r>
      <w:proofErr w:type="spellStart"/>
      <w:r w:rsidR="00F453C8">
        <w:rPr>
          <w:rFonts w:ascii="Times New Roman" w:hAnsi="Times New Roman" w:cs="Times New Roman"/>
          <w:sz w:val="24"/>
          <w:szCs w:val="24"/>
        </w:rPr>
        <w:t>млрд.е</w:t>
      </w:r>
      <w:proofErr w:type="spellEnd"/>
      <w:r w:rsidR="00F453C8">
        <w:rPr>
          <w:rFonts w:ascii="Times New Roman" w:hAnsi="Times New Roman" w:cs="Times New Roman"/>
          <w:sz w:val="24"/>
          <w:szCs w:val="24"/>
        </w:rPr>
        <w:t>.</w:t>
      </w:r>
      <w:r w:rsidR="001C5FA7">
        <w:rPr>
          <w:rFonts w:ascii="Times New Roman" w:hAnsi="Times New Roman" w:cs="Times New Roman"/>
          <w:sz w:val="24"/>
          <w:szCs w:val="24"/>
        </w:rPr>
        <w:t>,</w:t>
      </w:r>
      <w:r w:rsidR="00F45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453C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proofErr w:type="gramEnd"/>
      <w:r w:rsidR="00F453C8">
        <w:rPr>
          <w:rFonts w:ascii="Times New Roman" w:hAnsi="Times New Roman" w:cs="Times New Roman"/>
          <w:sz w:val="24"/>
          <w:szCs w:val="24"/>
          <w:lang w:val="en-US"/>
        </w:rPr>
        <w:t xml:space="preserve"> 51% </w:t>
      </w:r>
      <w:proofErr w:type="spellStart"/>
      <w:r w:rsidR="00F453C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45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3C8">
        <w:rPr>
          <w:rFonts w:ascii="Times New Roman" w:hAnsi="Times New Roman" w:cs="Times New Roman"/>
          <w:sz w:val="24"/>
          <w:szCs w:val="24"/>
          <w:lang w:val="en-US"/>
        </w:rPr>
        <w:t>нивата</w:t>
      </w:r>
      <w:proofErr w:type="spellEnd"/>
      <w:r w:rsidR="00F45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3C8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="00F453C8">
        <w:rPr>
          <w:rFonts w:ascii="Times New Roman" w:hAnsi="Times New Roman" w:cs="Times New Roman"/>
          <w:sz w:val="24"/>
          <w:szCs w:val="24"/>
          <w:lang w:val="en-US"/>
        </w:rPr>
        <w:t xml:space="preserve"> 2007 г</w:t>
      </w:r>
      <w:r w:rsidR="00F453C8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4D2E2F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Fonts w:ascii="Times New Roman" w:hAnsi="Times New Roman" w:cs="Times New Roman"/>
          <w:sz w:val="24"/>
          <w:szCs w:val="24"/>
        </w:rPr>
        <w:t>(</w:t>
      </w:r>
      <w:r w:rsidR="001C5FA7">
        <w:rPr>
          <w:rFonts w:ascii="Times New Roman" w:hAnsi="Times New Roman" w:cs="Times New Roman"/>
          <w:sz w:val="24"/>
          <w:szCs w:val="24"/>
        </w:rPr>
        <w:t xml:space="preserve">въпреки това се наблюдават </w:t>
      </w:r>
      <w:r w:rsidR="004D2E2F">
        <w:rPr>
          <w:rFonts w:ascii="Times New Roman" w:hAnsi="Times New Roman" w:cs="Times New Roman"/>
          <w:sz w:val="24"/>
          <w:szCs w:val="24"/>
        </w:rPr>
        <w:t xml:space="preserve">1,5 пъти по-високи нива </w:t>
      </w:r>
      <w:r w:rsidR="001C5FA7">
        <w:rPr>
          <w:rFonts w:ascii="Times New Roman" w:hAnsi="Times New Roman" w:cs="Times New Roman"/>
          <w:sz w:val="24"/>
          <w:szCs w:val="24"/>
        </w:rPr>
        <w:t xml:space="preserve">спрямо </w:t>
      </w:r>
      <w:r w:rsidR="004D2E2F">
        <w:rPr>
          <w:rFonts w:ascii="Times New Roman" w:hAnsi="Times New Roman" w:cs="Times New Roman"/>
          <w:sz w:val="24"/>
          <w:szCs w:val="24"/>
        </w:rPr>
        <w:t>най-ниската инвестиционна активност</w:t>
      </w:r>
      <w:r w:rsidR="001C5FA7">
        <w:rPr>
          <w:rFonts w:ascii="Times New Roman" w:hAnsi="Times New Roman" w:cs="Times New Roman"/>
          <w:sz w:val="24"/>
          <w:szCs w:val="24"/>
        </w:rPr>
        <w:t xml:space="preserve"> за периода,</w:t>
      </w:r>
      <w:r w:rsidR="004D2E2F">
        <w:rPr>
          <w:rFonts w:ascii="Times New Roman" w:hAnsi="Times New Roman" w:cs="Times New Roman"/>
          <w:sz w:val="24"/>
          <w:szCs w:val="24"/>
        </w:rPr>
        <w:t xml:space="preserve"> регистрирана през 2009 г.)</w:t>
      </w:r>
      <w:r w:rsidR="00F453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Fonts w:ascii="Times New Roman" w:hAnsi="Times New Roman" w:cs="Times New Roman"/>
          <w:sz w:val="24"/>
          <w:szCs w:val="24"/>
        </w:rPr>
        <w:t xml:space="preserve">Броят на финансираните компании остава относително постоянен през периода, около 5000 компании, като най-ниското значение е </w:t>
      </w:r>
      <w:r w:rsidR="001C5FA7">
        <w:rPr>
          <w:rFonts w:ascii="Times New Roman" w:hAnsi="Times New Roman" w:cs="Times New Roman"/>
          <w:sz w:val="24"/>
          <w:szCs w:val="24"/>
        </w:rPr>
        <w:t xml:space="preserve">регистрирано </w:t>
      </w:r>
      <w:r w:rsidR="00320432">
        <w:rPr>
          <w:rFonts w:ascii="Times New Roman" w:hAnsi="Times New Roman" w:cs="Times New Roman"/>
          <w:sz w:val="24"/>
          <w:szCs w:val="24"/>
        </w:rPr>
        <w:t xml:space="preserve">през 2009 г. (4975), а най-високото през 2007 г.(5340). </w:t>
      </w:r>
      <w:r w:rsidR="00F453C8">
        <w:rPr>
          <w:rFonts w:ascii="Times New Roman" w:hAnsi="Times New Roman" w:cs="Times New Roman"/>
          <w:sz w:val="24"/>
          <w:szCs w:val="24"/>
        </w:rPr>
        <w:t>Това движение може да се интерпретира като стабилизиране</w:t>
      </w:r>
      <w:r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F453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възвръщане на подкрепата от страна на фондовете за рисков капитал към предприемачите в </w:t>
      </w:r>
      <w:r w:rsidRPr="00B265D2">
        <w:rPr>
          <w:rFonts w:ascii="Times New Roman" w:hAnsi="Times New Roman" w:cs="Times New Roman"/>
          <w:sz w:val="24"/>
          <w:szCs w:val="24"/>
        </w:rPr>
        <w:t>Европа</w:t>
      </w:r>
      <w:r w:rsidR="00F453C8">
        <w:rPr>
          <w:rFonts w:ascii="Times New Roman" w:hAnsi="Times New Roman" w:cs="Times New Roman"/>
          <w:sz w:val="24"/>
          <w:szCs w:val="24"/>
        </w:rPr>
        <w:t>.</w:t>
      </w:r>
    </w:p>
    <w:p w:rsidR="00320432" w:rsidRDefault="0053550E" w:rsidP="00F0622D">
      <w:pPr>
        <w:spacing w:before="120" w:after="12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271FD">
        <w:rPr>
          <w:rFonts w:ascii="TimesNewRoman" w:hAnsi="TimesNewRoman" w:cs="TimesNewRoman"/>
          <w:sz w:val="24"/>
          <w:szCs w:val="24"/>
        </w:rPr>
        <w:t xml:space="preserve">Значителни промени са настъпили и в структурата на доставчиците на капитал.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В миналото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Fonts w:ascii="Times New Roman" w:hAnsi="Times New Roman" w:cs="Times New Roman"/>
          <w:sz w:val="24"/>
          <w:szCs w:val="24"/>
        </w:rPr>
        <w:t xml:space="preserve">ключовите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партньори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те с ограничена отговорност във фондовете за рисков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капитал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бяха основно институционални инвеститори – банки, пенсионни фондове, застрахователни компании. Предвид по-строгите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регулация и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по-високи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>те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капиталови изисквания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>през последните години се наблюдава ограничаване на инвестициите от тези страни и замяната и</w:t>
      </w:r>
      <w:r w:rsidR="00BA31CA">
        <w:rPr>
          <w:rStyle w:val="hps"/>
          <w:rFonts w:ascii="Times New Roman" w:hAnsi="Times New Roman" w:cs="Times New Roman"/>
          <w:sz w:val="24"/>
          <w:szCs w:val="24"/>
        </w:rPr>
        <w:t xml:space="preserve">м с фондове от частни компании (ръст от 5 пъти за периода).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Въпреки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Fonts w:ascii="Times New Roman" w:hAnsi="Times New Roman" w:cs="Times New Roman"/>
          <w:sz w:val="24"/>
          <w:szCs w:val="24"/>
        </w:rPr>
        <w:t xml:space="preserve">че 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корпоративното рисково финансиране в Европа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не се случва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в мащаб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, </w:t>
      </w:r>
      <w:r w:rsidR="00320432">
        <w:rPr>
          <w:rFonts w:ascii="Times New Roman" w:hAnsi="Times New Roman" w:cs="Times New Roman"/>
          <w:sz w:val="24"/>
          <w:szCs w:val="24"/>
        </w:rPr>
        <w:t xml:space="preserve">подобен на този в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 xml:space="preserve"> САЩ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, това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 xml:space="preserve">е 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една благоприятна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тенденция,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която се очаква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да</w:t>
      </w:r>
      <w:r w:rsidR="00320432" w:rsidRPr="00B265D2">
        <w:rPr>
          <w:rFonts w:ascii="Times New Roman" w:hAnsi="Times New Roman" w:cs="Times New Roman"/>
          <w:sz w:val="24"/>
          <w:szCs w:val="24"/>
        </w:rPr>
        <w:t xml:space="preserve"> </w:t>
      </w:r>
      <w:r w:rsidR="00320432" w:rsidRPr="00B265D2">
        <w:rPr>
          <w:rStyle w:val="hps"/>
          <w:rFonts w:ascii="Times New Roman" w:hAnsi="Times New Roman" w:cs="Times New Roman"/>
          <w:sz w:val="24"/>
          <w:szCs w:val="24"/>
        </w:rPr>
        <w:t>продължи</w:t>
      </w:r>
      <w:r w:rsidR="00320432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</w:p>
    <w:p w:rsidR="00F2747F" w:rsidRPr="00BA31CA" w:rsidRDefault="0053550E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BA31CA">
        <w:rPr>
          <w:rFonts w:ascii="TimesNewRoman" w:hAnsi="TimesNewRoman" w:cs="TimesNewRoman"/>
          <w:sz w:val="24"/>
          <w:szCs w:val="24"/>
        </w:rPr>
        <w:t>През 200</w:t>
      </w:r>
      <w:r w:rsidR="00F2747F" w:rsidRPr="00BA31CA">
        <w:rPr>
          <w:rFonts w:ascii="TimesNewRoman" w:hAnsi="TimesNewRoman" w:cs="TimesNewRoman"/>
          <w:sz w:val="24"/>
          <w:szCs w:val="24"/>
        </w:rPr>
        <w:t>7</w:t>
      </w:r>
      <w:r w:rsidRPr="00BA31CA">
        <w:rPr>
          <w:rFonts w:ascii="TimesNewRoman" w:hAnsi="TimesNewRoman" w:cs="TimesNewRoman"/>
          <w:sz w:val="24"/>
          <w:szCs w:val="24"/>
        </w:rPr>
        <w:t xml:space="preserve"> г. основният източник на капитал</w:t>
      </w:r>
      <w:r w:rsidR="00F2747F" w:rsidRPr="00BA31CA">
        <w:rPr>
          <w:rFonts w:ascii="TimesNewRoman" w:hAnsi="TimesNewRoman" w:cs="TimesNewRoman"/>
          <w:sz w:val="24"/>
          <w:szCs w:val="24"/>
        </w:rPr>
        <w:t xml:space="preserve"> във фондовете за рисков капитал</w:t>
      </w:r>
      <w:r w:rsidRPr="00BA31CA">
        <w:rPr>
          <w:rFonts w:ascii="TimesNewRoman" w:hAnsi="TimesNewRoman" w:cs="TimesNewRoman"/>
          <w:sz w:val="24"/>
          <w:szCs w:val="24"/>
        </w:rPr>
        <w:t xml:space="preserve"> бяха пенсионните фондове (</w:t>
      </w:r>
      <w:r w:rsidR="00F2747F" w:rsidRPr="00BA31CA">
        <w:rPr>
          <w:rFonts w:ascii="TimesNewRoman" w:hAnsi="TimesNewRoman" w:cs="TimesNewRoman"/>
          <w:sz w:val="24"/>
          <w:szCs w:val="24"/>
        </w:rPr>
        <w:t>17,83</w:t>
      </w:r>
      <w:r w:rsidRPr="00BA31CA">
        <w:rPr>
          <w:rFonts w:ascii="TimesNewRoman" w:hAnsi="TimesNewRoman" w:cs="TimesNewRoman"/>
          <w:sz w:val="24"/>
          <w:szCs w:val="24"/>
        </w:rPr>
        <w:t xml:space="preserve"> %) </w:t>
      </w:r>
      <w:r w:rsidR="00F2747F" w:rsidRPr="00BA31CA">
        <w:rPr>
          <w:rFonts w:ascii="TimesNewRoman" w:hAnsi="TimesNewRoman" w:cs="TimesNewRoman"/>
          <w:sz w:val="24"/>
          <w:szCs w:val="24"/>
        </w:rPr>
        <w:t xml:space="preserve">и фондовете на фондове (10,94%), като през периода се </w:t>
      </w:r>
    </w:p>
    <w:p w:rsidR="0053550E" w:rsidRDefault="0053550E" w:rsidP="00F0622D">
      <w:pPr>
        <w:spacing w:before="120"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BA31CA">
        <w:rPr>
          <w:rFonts w:ascii="TimesNewRoman" w:hAnsi="TimesNewRoman" w:cs="TimesNewRoman"/>
          <w:sz w:val="24"/>
          <w:szCs w:val="24"/>
        </w:rPr>
        <w:t xml:space="preserve">наблюдаваше </w:t>
      </w:r>
      <w:r w:rsidR="00F2747F" w:rsidRPr="00BA31CA">
        <w:rPr>
          <w:rFonts w:ascii="TimesNewRoman" w:hAnsi="TimesNewRoman" w:cs="TimesNewRoman"/>
          <w:sz w:val="24"/>
          <w:szCs w:val="24"/>
        </w:rPr>
        <w:t xml:space="preserve">значителен ръст </w:t>
      </w:r>
      <w:r w:rsidRPr="00BA31CA">
        <w:rPr>
          <w:rFonts w:ascii="TimesNewRoman" w:hAnsi="TimesNewRoman" w:cs="TimesNewRoman"/>
          <w:sz w:val="24"/>
          <w:szCs w:val="24"/>
        </w:rPr>
        <w:t>в значимостта на банките (</w:t>
      </w:r>
      <w:r w:rsidR="00F2747F" w:rsidRPr="00BA31CA">
        <w:rPr>
          <w:rFonts w:ascii="TimesNewRoman" w:hAnsi="TimesNewRoman" w:cs="TimesNewRoman"/>
          <w:sz w:val="24"/>
          <w:szCs w:val="24"/>
        </w:rPr>
        <w:t xml:space="preserve">до 18,67 % през 2009 г.). </w:t>
      </w:r>
      <w:r w:rsidR="00BA31CA">
        <w:rPr>
          <w:rFonts w:ascii="TimesNewRoman" w:hAnsi="TimesNewRoman" w:cs="TimesNewRoman"/>
          <w:sz w:val="24"/>
          <w:szCs w:val="24"/>
        </w:rPr>
        <w:t>Чувствителен ръст се наблюдава и при средствата осигурени от държавни агенции с пик през 2009 г. в размер на 11,9</w:t>
      </w:r>
      <w:r w:rsidR="002D1CF8">
        <w:rPr>
          <w:rFonts w:ascii="TimesNewRoman" w:hAnsi="TimesNewRoman" w:cs="TimesNewRoman"/>
          <w:sz w:val="24"/>
          <w:szCs w:val="24"/>
        </w:rPr>
        <w:t>9 % от мобилизираните капитали (п</w:t>
      </w:r>
      <w:r w:rsidR="002D1CF8" w:rsidRPr="00B265D2">
        <w:rPr>
          <w:rFonts w:ascii="Times New Roman" w:hAnsi="Times New Roman" w:cs="Times New Roman"/>
          <w:sz w:val="24"/>
          <w:szCs w:val="24"/>
        </w:rPr>
        <w:t>равителствата в Европа имат желание да п</w:t>
      </w:r>
      <w:r w:rsidR="002D1CF8">
        <w:rPr>
          <w:rFonts w:ascii="Times New Roman" w:hAnsi="Times New Roman" w:cs="Times New Roman"/>
          <w:sz w:val="24"/>
          <w:szCs w:val="24"/>
        </w:rPr>
        <w:t>одкрепят нови бизнес начинания в</w:t>
      </w:r>
      <w:r w:rsidR="002D1CF8" w:rsidRPr="00B265D2">
        <w:rPr>
          <w:rFonts w:ascii="Times New Roman" w:hAnsi="Times New Roman" w:cs="Times New Roman"/>
          <w:sz w:val="24"/>
          <w:szCs w:val="24"/>
        </w:rPr>
        <w:t xml:space="preserve"> стремежа си да стимулира</w:t>
      </w:r>
      <w:r w:rsidR="002D1CF8">
        <w:rPr>
          <w:rFonts w:ascii="Times New Roman" w:hAnsi="Times New Roman" w:cs="Times New Roman"/>
          <w:sz w:val="24"/>
          <w:szCs w:val="24"/>
        </w:rPr>
        <w:t xml:space="preserve">т заетостта). </w:t>
      </w:r>
      <w:r w:rsidRPr="00A271FD">
        <w:rPr>
          <w:rFonts w:ascii="TimesNewRoman" w:hAnsi="TimesNewRoman" w:cs="TimesNewRoman"/>
          <w:sz w:val="24"/>
          <w:szCs w:val="24"/>
        </w:rPr>
        <w:t>Тези промени настъпиха в резултат на внезапното спиране на притока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средства от сектора на пенсионните фондове в стремежа му да ограничи своята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експозиция спрямо рискови активи.</w:t>
      </w:r>
    </w:p>
    <w:p w:rsidR="00237D3A" w:rsidRDefault="00237D3A" w:rsidP="00F0622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годините след рецесията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предприемачите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попаднаха в </w:t>
      </w:r>
      <w:r w:rsidR="00BF6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своеобразна 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долина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смъртта" по отношение на достъпа до финансиране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BF6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ограничен интерес от страна на формалните рискови инвеститори към стартовия и зърнения етап от развитието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бизнеса. През 2013 г. повече от 27 % от стартовите кръгове финансиране са с участието на неформален рисков инвеститор (като бизнес ангели и бизнес инкубатори) или 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пъти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спрямо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2007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Същата благоприятна тенденция се забелязва и при предоставянето на финансиране на етапа на развитие на </w:t>
      </w:r>
      <w:r w:rsidRPr="00B265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ангажираността на бизнес ангелите е в размер на 23% от финансирането на инвестиционния кръг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bg-BG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3550E" w:rsidRPr="00A271FD" w:rsidRDefault="0053550E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1FD">
        <w:rPr>
          <w:rFonts w:ascii="TimesNewRoman" w:hAnsi="TimesNewRoman" w:cs="TimesNewRoman"/>
          <w:sz w:val="24"/>
          <w:szCs w:val="24"/>
        </w:rPr>
        <w:t>Индикатор на мащаба на трудностите, свързани с набирането на средства, е времето,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>което се изисква от управителите на фондове за окончателното затваряне на фонд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271FD">
        <w:rPr>
          <w:rFonts w:ascii="TimesNewRoman" w:hAnsi="TimesNewRoman" w:cs="TimesNewRoman"/>
          <w:sz w:val="24"/>
          <w:szCs w:val="24"/>
        </w:rPr>
        <w:t xml:space="preserve">(т.е. да се събере условна група инвеститори). </w:t>
      </w:r>
      <w:r w:rsidRPr="00BA31CA">
        <w:rPr>
          <w:rFonts w:ascii="TimesNewRoman" w:hAnsi="TimesNewRoman" w:cs="TimesNewRoman"/>
          <w:sz w:val="24"/>
          <w:szCs w:val="24"/>
        </w:rPr>
        <w:t>Между 2005 г. и 2007 г. средно</w:t>
      </w:r>
      <w:r w:rsidR="00AC695B">
        <w:rPr>
          <w:rFonts w:ascii="TimesNewRoman" w:hAnsi="TimesNewRoman" w:cs="TimesNewRoman"/>
          <w:sz w:val="24"/>
          <w:szCs w:val="24"/>
        </w:rPr>
        <w:t xml:space="preserve"> необходимото време за това бе</w:t>
      </w:r>
      <w:r w:rsidRPr="00BA31CA">
        <w:rPr>
          <w:rFonts w:ascii="TimesNewRoman" w:hAnsi="TimesNewRoman" w:cs="TimesNewRoman"/>
          <w:sz w:val="24"/>
          <w:szCs w:val="24"/>
        </w:rPr>
        <w:t xml:space="preserve"> не повече от година. До 2009 г. този процес вече отнемаше 18 месеца, а през първата половина на 2010 г. – 20 месеца</w:t>
      </w:r>
      <w:r w:rsidR="00D04E4C" w:rsidRPr="00BA31CA">
        <w:rPr>
          <w:rStyle w:val="FootnoteReference"/>
          <w:rFonts w:ascii="TimesNewRoman" w:hAnsi="TimesNewRoman" w:cs="TimesNewRoman"/>
          <w:sz w:val="24"/>
          <w:szCs w:val="24"/>
        </w:rPr>
        <w:footnoteReference w:id="4"/>
      </w:r>
      <w:r w:rsidRPr="00BA31CA">
        <w:rPr>
          <w:rFonts w:ascii="TimesNewRoman" w:hAnsi="TimesNewRoman" w:cs="TimesNewRoman"/>
          <w:sz w:val="24"/>
          <w:szCs w:val="24"/>
        </w:rPr>
        <w:t>.</w:t>
      </w:r>
    </w:p>
    <w:p w:rsidR="0053550E" w:rsidRDefault="0053550E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Въпреки че европейските фондове за рисков капитал съответстват на глобалния тренд за ориентиране на </w:t>
      </w:r>
      <w:r w:rsidRPr="00B265D2">
        <w:rPr>
          <w:rFonts w:ascii="Times New Roman" w:hAnsi="Times New Roman" w:cs="Times New Roman"/>
          <w:sz w:val="24"/>
          <w:szCs w:val="24"/>
        </w:rPr>
        <w:t xml:space="preserve">по-голямата част от инвестициите </w:t>
      </w:r>
      <w:r>
        <w:rPr>
          <w:rFonts w:ascii="Times New Roman" w:hAnsi="Times New Roman" w:cs="Times New Roman"/>
          <w:sz w:val="24"/>
          <w:szCs w:val="24"/>
        </w:rPr>
        <w:t xml:space="preserve">на по –късните фази от развитието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портфейлните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2611E6">
        <w:rPr>
          <w:rFonts w:ascii="Times New Roman" w:hAnsi="Times New Roman" w:cs="Times New Roman"/>
          <w:sz w:val="24"/>
          <w:szCs w:val="24"/>
        </w:rPr>
        <w:t xml:space="preserve"> (инвестициите на фаза изкупуване доминират с 52,82% през 2009 г. и 81,86% през 2007г.) </w:t>
      </w:r>
      <w:r>
        <w:rPr>
          <w:rFonts w:ascii="Times New Roman" w:hAnsi="Times New Roman" w:cs="Times New Roman"/>
          <w:sz w:val="24"/>
          <w:szCs w:val="24"/>
        </w:rPr>
        <w:t xml:space="preserve"> през 2013 г. се наблюдава известна пр</w:t>
      </w:r>
      <w:r w:rsidR="002611E6">
        <w:rPr>
          <w:rFonts w:ascii="Times New Roman" w:hAnsi="Times New Roman" w:cs="Times New Roman"/>
          <w:sz w:val="24"/>
          <w:szCs w:val="24"/>
        </w:rPr>
        <w:t xml:space="preserve">омяна в модела на инвестиране. </w:t>
      </w:r>
      <w:r w:rsidRPr="00B265D2">
        <w:rPr>
          <w:rFonts w:ascii="Times New Roman" w:hAnsi="Times New Roman" w:cs="Times New Roman"/>
          <w:sz w:val="24"/>
          <w:szCs w:val="24"/>
        </w:rPr>
        <w:t>Фондове</w:t>
      </w:r>
      <w:r>
        <w:rPr>
          <w:rFonts w:ascii="Times New Roman" w:hAnsi="Times New Roman" w:cs="Times New Roman"/>
          <w:sz w:val="24"/>
          <w:szCs w:val="24"/>
        </w:rPr>
        <w:t xml:space="preserve">те за рисков капитал увеличават ангажираността си </w:t>
      </w:r>
      <w:r w:rsidRPr="00B26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етапа на </w:t>
      </w:r>
      <w:r w:rsidRPr="00B265D2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 xml:space="preserve">тово </w:t>
      </w:r>
      <w:r w:rsidRPr="00B265D2">
        <w:rPr>
          <w:rFonts w:ascii="Times New Roman" w:hAnsi="Times New Roman" w:cs="Times New Roman"/>
          <w:sz w:val="24"/>
          <w:szCs w:val="24"/>
        </w:rPr>
        <w:t>развитие</w:t>
      </w:r>
      <w:r w:rsidR="00AC695B">
        <w:rPr>
          <w:rFonts w:ascii="Times New Roman" w:hAnsi="Times New Roman" w:cs="Times New Roman"/>
          <w:sz w:val="24"/>
          <w:szCs w:val="24"/>
        </w:rPr>
        <w:t xml:space="preserve">, </w:t>
      </w:r>
      <w:r w:rsidRPr="00B265D2">
        <w:rPr>
          <w:rFonts w:ascii="Times New Roman" w:hAnsi="Times New Roman" w:cs="Times New Roman"/>
          <w:sz w:val="24"/>
          <w:szCs w:val="24"/>
        </w:rPr>
        <w:t xml:space="preserve">от гледна точка на </w:t>
      </w:r>
      <w:r>
        <w:rPr>
          <w:rFonts w:ascii="Times New Roman" w:hAnsi="Times New Roman" w:cs="Times New Roman"/>
          <w:sz w:val="24"/>
          <w:szCs w:val="24"/>
        </w:rPr>
        <w:t xml:space="preserve"> броя на инвестиционните </w:t>
      </w:r>
      <w:r w:rsidRPr="00B265D2">
        <w:rPr>
          <w:rFonts w:ascii="Times New Roman" w:hAnsi="Times New Roman" w:cs="Times New Roman"/>
          <w:sz w:val="24"/>
          <w:szCs w:val="24"/>
        </w:rPr>
        <w:t>кръгове и размер</w:t>
      </w:r>
      <w:r w:rsidR="00AC695B">
        <w:rPr>
          <w:rFonts w:ascii="Times New Roman" w:hAnsi="Times New Roman" w:cs="Times New Roman"/>
          <w:sz w:val="24"/>
          <w:szCs w:val="24"/>
        </w:rPr>
        <w:t>а</w:t>
      </w:r>
      <w:r w:rsidRPr="00B265D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инвестицията си</w:t>
      </w:r>
      <w:r w:rsidR="002611E6">
        <w:rPr>
          <w:rFonts w:ascii="Times New Roman" w:hAnsi="Times New Roman" w:cs="Times New Roman"/>
          <w:sz w:val="24"/>
          <w:szCs w:val="24"/>
        </w:rPr>
        <w:t xml:space="preserve"> (6,11 % от инвестициите</w:t>
      </w:r>
      <w:r w:rsidR="00AC695B">
        <w:rPr>
          <w:rFonts w:ascii="Times New Roman" w:hAnsi="Times New Roman" w:cs="Times New Roman"/>
          <w:sz w:val="24"/>
          <w:szCs w:val="24"/>
        </w:rPr>
        <w:t xml:space="preserve"> през 2007 г. срещу 9</w:t>
      </w:r>
      <w:r w:rsidR="002611E6">
        <w:rPr>
          <w:rFonts w:ascii="Times New Roman" w:hAnsi="Times New Roman" w:cs="Times New Roman"/>
          <w:sz w:val="24"/>
          <w:szCs w:val="24"/>
        </w:rPr>
        <w:t>,79% в края на периода).</w:t>
      </w:r>
      <w:r w:rsidR="002D1CF8">
        <w:rPr>
          <w:rFonts w:ascii="Times New Roman" w:hAnsi="Times New Roman" w:cs="Times New Roman"/>
          <w:sz w:val="24"/>
          <w:szCs w:val="24"/>
        </w:rPr>
        <w:t xml:space="preserve"> Също така се наблюдава спад при</w:t>
      </w:r>
      <w:r w:rsidR="00AC695B">
        <w:rPr>
          <w:rFonts w:ascii="Times New Roman" w:hAnsi="Times New Roman" w:cs="Times New Roman"/>
          <w:sz w:val="24"/>
          <w:szCs w:val="24"/>
        </w:rPr>
        <w:t xml:space="preserve"> първоначалните инвестиции</w:t>
      </w:r>
      <w:r w:rsidR="00E846A3">
        <w:rPr>
          <w:rFonts w:ascii="Times New Roman" w:hAnsi="Times New Roman" w:cs="Times New Roman"/>
          <w:sz w:val="24"/>
          <w:szCs w:val="24"/>
        </w:rPr>
        <w:t xml:space="preserve"> в портфейлната компания, за сметка на </w:t>
      </w:r>
      <w:r w:rsidR="00AC695B">
        <w:rPr>
          <w:rFonts w:ascii="Times New Roman" w:hAnsi="Times New Roman" w:cs="Times New Roman"/>
          <w:sz w:val="24"/>
          <w:szCs w:val="24"/>
        </w:rPr>
        <w:t>ръст на доверието в последващи инвестиционни кръгове</w:t>
      </w:r>
      <w:r w:rsidR="00E846A3">
        <w:rPr>
          <w:rFonts w:ascii="Times New Roman" w:hAnsi="Times New Roman" w:cs="Times New Roman"/>
          <w:sz w:val="24"/>
          <w:szCs w:val="24"/>
        </w:rPr>
        <w:t xml:space="preserve"> (в началото на разглеждания период съотношението първоначална-последваща инвестиция е 62,77% към 33,34 %, а в края му </w:t>
      </w:r>
      <w:r w:rsidR="00AC695B">
        <w:rPr>
          <w:rFonts w:ascii="Times New Roman" w:hAnsi="Times New Roman" w:cs="Times New Roman"/>
          <w:sz w:val="24"/>
          <w:szCs w:val="24"/>
        </w:rPr>
        <w:t>е</w:t>
      </w:r>
      <w:r w:rsidR="00E846A3">
        <w:rPr>
          <w:rFonts w:ascii="Times New Roman" w:hAnsi="Times New Roman" w:cs="Times New Roman"/>
          <w:sz w:val="24"/>
          <w:szCs w:val="24"/>
        </w:rPr>
        <w:t xml:space="preserve"> 41,62</w:t>
      </w:r>
      <w:r w:rsidR="00AC695B">
        <w:rPr>
          <w:rFonts w:ascii="Times New Roman" w:hAnsi="Times New Roman" w:cs="Times New Roman"/>
          <w:sz w:val="24"/>
          <w:szCs w:val="24"/>
        </w:rPr>
        <w:t xml:space="preserve"> %</w:t>
      </w:r>
      <w:r w:rsidR="00E846A3">
        <w:rPr>
          <w:rFonts w:ascii="Times New Roman" w:hAnsi="Times New Roman" w:cs="Times New Roman"/>
          <w:sz w:val="24"/>
          <w:szCs w:val="24"/>
        </w:rPr>
        <w:t xml:space="preserve"> към 58,07 %).</w:t>
      </w:r>
    </w:p>
    <w:p w:rsidR="004B7194" w:rsidRDefault="0087128A" w:rsidP="00F0622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B719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NewRoman" w:hAnsi="TimesNewRoman" w:cs="TimesNewRoman"/>
          <w:sz w:val="24"/>
          <w:szCs w:val="24"/>
        </w:rPr>
        <w:t>По традиция, Великобритания набира и инвестира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 най-големия</w:t>
      </w:r>
      <w:r w:rsidR="00A271FD">
        <w:rPr>
          <w:rFonts w:ascii="TimesNewRoman" w:hAnsi="TimesNewRoman" w:cs="TimesNewRoman"/>
          <w:sz w:val="24"/>
          <w:szCs w:val="24"/>
        </w:rPr>
        <w:t xml:space="preserve"> </w:t>
      </w:r>
      <w:r w:rsidR="00A271FD" w:rsidRPr="00A271FD">
        <w:rPr>
          <w:rFonts w:ascii="TimesNewRoman" w:hAnsi="TimesNewRoman" w:cs="TimesNewRoman"/>
          <w:sz w:val="24"/>
          <w:szCs w:val="24"/>
        </w:rPr>
        <w:t>дял от европейския капитал, ангажиран в сектора, свързан с риск и с дялово участие</w:t>
      </w:r>
      <w:r w:rsidR="007E5175">
        <w:rPr>
          <w:rFonts w:ascii="TimesNewRoman" w:hAnsi="TimesNewRoman" w:cs="TimesNewRoman"/>
          <w:sz w:val="24"/>
          <w:szCs w:val="24"/>
        </w:rPr>
        <w:t xml:space="preserve">. 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Британците системно успяват да </w:t>
      </w:r>
      <w:r>
        <w:rPr>
          <w:rFonts w:ascii="TimesNewRoman" w:hAnsi="TimesNewRoman" w:cs="TimesNewRoman"/>
          <w:sz w:val="24"/>
          <w:szCs w:val="24"/>
        </w:rPr>
        <w:t>мобилизират</w:t>
      </w:r>
      <w:r w:rsidR="00A271FD">
        <w:rPr>
          <w:rFonts w:ascii="TimesNewRoman" w:hAnsi="TimesNewRoman" w:cs="TimesNewRoman"/>
          <w:sz w:val="24"/>
          <w:szCs w:val="24"/>
        </w:rPr>
        <w:t xml:space="preserve"> 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около </w:t>
      </w:r>
      <w:r w:rsidR="00024D16">
        <w:rPr>
          <w:rFonts w:ascii="TimesNewRoman" w:hAnsi="TimesNewRoman" w:cs="TimesNewRoman"/>
          <w:sz w:val="24"/>
          <w:szCs w:val="24"/>
        </w:rPr>
        <w:t xml:space="preserve">21-28 </w:t>
      </w:r>
      <w:r>
        <w:rPr>
          <w:rFonts w:ascii="TimesNewRoman" w:hAnsi="TimesNewRoman" w:cs="TimesNewRoman"/>
          <w:sz w:val="24"/>
          <w:szCs w:val="24"/>
        </w:rPr>
        <w:t>% от средствата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 за нови </w:t>
      </w:r>
    </w:p>
    <w:p w:rsidR="004B7194" w:rsidRPr="00BA1FB5" w:rsidRDefault="004B7194" w:rsidP="004B7194">
      <w:pPr>
        <w:rPr>
          <w:rFonts w:ascii="Times New Roman" w:hAnsi="Times New Roman" w:cs="Times New Roman"/>
          <w:b/>
          <w:sz w:val="24"/>
          <w:szCs w:val="24"/>
        </w:rPr>
      </w:pPr>
      <w:r w:rsidRPr="00BA1FB5">
        <w:rPr>
          <w:rFonts w:ascii="Times New Roman" w:hAnsi="Times New Roman" w:cs="Times New Roman"/>
          <w:b/>
          <w:sz w:val="24"/>
          <w:szCs w:val="24"/>
        </w:rPr>
        <w:lastRenderedPageBreak/>
        <w:t>Таблица №1 Размер на инвестициите според държавата на портфейлната компания (хил. евр</w:t>
      </w:r>
      <w:r w:rsidR="00BF6A3F">
        <w:rPr>
          <w:rFonts w:ascii="Times New Roman" w:hAnsi="Times New Roman" w:cs="Times New Roman"/>
          <w:b/>
          <w:sz w:val="24"/>
          <w:szCs w:val="24"/>
        </w:rPr>
        <w:t>о</w:t>
      </w:r>
      <w:r w:rsidRPr="00BA1FB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87"/>
        <w:gridCol w:w="1387"/>
        <w:gridCol w:w="1387"/>
        <w:gridCol w:w="1387"/>
        <w:gridCol w:w="1387"/>
        <w:gridCol w:w="1387"/>
        <w:gridCol w:w="1387"/>
      </w:tblGrid>
      <w:tr w:rsidR="004B7194" w:rsidRPr="00582680" w:rsidTr="0061194D">
        <w:trPr>
          <w:trHeight w:val="6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Рисково финансиране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/ страна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2007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2008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2009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2010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2011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2012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>2013</w:t>
            </w:r>
            <w:r w:rsidRPr="0094301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bg-BG"/>
              </w:rPr>
              <w:t xml:space="preserve"> г.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Австрия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905 548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326 153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178 337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703 037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321 821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282 287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539 854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Балтийски страни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216 981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88 002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6 687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33 467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53 401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29 551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60 404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Белгия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2 323 254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700 760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1 168 225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972 369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977 267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1 408 416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1 029 095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България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178 987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91 627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185 165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82 238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7 225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84 167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11 098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Чехия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181 071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422 978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1 357 982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228 836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143 933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105 874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134 339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1 835 153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1 207 400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479 041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385 657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880 586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861 573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1 841 562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Финландия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1 068 981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659 552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677 218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589 939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846 288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606 405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791 032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Франция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12 149 323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8 919 481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3 142 232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6 646 040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9 612 143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5 274 939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6 442 859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Германия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10 447 987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9 583 664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3 023 827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4 894 875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6 666 948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6 626 031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4 927 533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Гърция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150 967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283 482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152 532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39 130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10 097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35 557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4 833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Унгария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222 723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464 030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213 637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65 046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194 841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102 953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56 827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Ирландия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528 896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313 121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510 505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751 550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314 346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265 490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170 582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Италия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3 520 823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5 350 170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1 893 543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1 609 129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2 221 041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1 339 153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1 538 238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Люксембург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687 353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829 380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912 418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92 003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313 630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68 035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155 025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Холандия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4 626 100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2 784 949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885 546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2 055 137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2 885 343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1 379 882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2 371 972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Норвегия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1 178 504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1 124 709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709 223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1 886 733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905 065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966 689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1 657 336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Централна и Източна Европа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163 751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82 483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128 289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47 126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38 864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138 005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49 351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Полша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434 188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635 724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274 567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652 691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678 436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473 015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380 033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Португалия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213 039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358 836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303 408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192 266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531 858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228 301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321 123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Румъния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212 445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293 961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220 871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119 138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65 918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27 606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70 099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Испания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3 697 120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2 199 113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1 114 293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2 945 905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2 349 828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2 012 605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1 969 208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Швеция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3 085 305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2 288 301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1 112 092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2 766 545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3 354 258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2 527 281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813 725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Швейцария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1 522 647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876 608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582 657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1 344 989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1 184 981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1 840 218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755 133</w:t>
            </w:r>
          </w:p>
        </w:tc>
      </w:tr>
      <w:tr w:rsidR="004B7194" w:rsidRPr="00582680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Украйна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261 666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353 745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38 219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96 208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63 309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43 314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18 933</w:t>
            </w:r>
          </w:p>
        </w:tc>
      </w:tr>
      <w:tr w:rsidR="004B7194" w:rsidRPr="00582680" w:rsidTr="0061194D">
        <w:trPr>
          <w:trHeight w:val="2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Великобритания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20 028 342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13 127 501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5 037 897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12 718 413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10 248 721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10 024 945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582680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582680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9 616 015</w:t>
            </w:r>
          </w:p>
        </w:tc>
      </w:tr>
      <w:tr w:rsidR="004B7194" w:rsidRPr="00BA1FB5" w:rsidTr="0061194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Общо в Европа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69 841 155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53 365 731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24 308 411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41 918 466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44 870 147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36 752 294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7194" w:rsidRPr="00BA1FB5" w:rsidRDefault="004B7194" w:rsidP="004B7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</w:pPr>
            <w:r w:rsidRPr="00BA1FB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bg-BG"/>
              </w:rPr>
              <w:t>35 726 211</w:t>
            </w:r>
          </w:p>
        </w:tc>
      </w:tr>
    </w:tbl>
    <w:p w:rsidR="00EE401B" w:rsidRPr="00334E55" w:rsidRDefault="009B42D0" w:rsidP="00083C34">
      <w:pPr>
        <w:pStyle w:val="Heading2"/>
        <w:spacing w:before="0" w:beforeAutospacing="0" w:after="0" w:afterAutospacing="0"/>
        <w:rPr>
          <w:lang w:val="en-US"/>
        </w:rPr>
      </w:pPr>
      <w:r w:rsidRPr="00EE401B">
        <w:rPr>
          <w:b w:val="0"/>
          <w:i/>
          <w:sz w:val="20"/>
          <w:szCs w:val="20"/>
        </w:rPr>
        <w:t>Източник</w:t>
      </w:r>
      <w:r w:rsidRPr="009B42D0">
        <w:rPr>
          <w:i/>
          <w:sz w:val="20"/>
          <w:szCs w:val="20"/>
        </w:rPr>
        <w:t xml:space="preserve">: </w:t>
      </w:r>
      <w:proofErr w:type="spellStart"/>
      <w:r w:rsidR="00EE401B" w:rsidRPr="00EE401B">
        <w:rPr>
          <w:b w:val="0"/>
          <w:i/>
          <w:sz w:val="20"/>
          <w:szCs w:val="20"/>
        </w:rPr>
        <w:t>European</w:t>
      </w:r>
      <w:proofErr w:type="spellEnd"/>
      <w:r w:rsidR="00EE401B" w:rsidRPr="00EE401B">
        <w:rPr>
          <w:b w:val="0"/>
          <w:i/>
          <w:sz w:val="20"/>
          <w:szCs w:val="20"/>
        </w:rPr>
        <w:t xml:space="preserve"> </w:t>
      </w:r>
      <w:proofErr w:type="spellStart"/>
      <w:r w:rsidR="00EE401B" w:rsidRPr="00EE401B">
        <w:rPr>
          <w:b w:val="0"/>
          <w:i/>
          <w:sz w:val="20"/>
          <w:szCs w:val="20"/>
        </w:rPr>
        <w:t>Private</w:t>
      </w:r>
      <w:proofErr w:type="spellEnd"/>
      <w:r w:rsidR="00EE401B" w:rsidRPr="00EE401B">
        <w:rPr>
          <w:b w:val="0"/>
          <w:i/>
          <w:sz w:val="20"/>
          <w:szCs w:val="20"/>
        </w:rPr>
        <w:t xml:space="preserve"> Equity </w:t>
      </w:r>
      <w:proofErr w:type="spellStart"/>
      <w:r w:rsidR="00EE401B" w:rsidRPr="00EE401B">
        <w:rPr>
          <w:b w:val="0"/>
          <w:i/>
          <w:sz w:val="20"/>
          <w:szCs w:val="20"/>
        </w:rPr>
        <w:t>Activity</w:t>
      </w:r>
      <w:proofErr w:type="spellEnd"/>
      <w:r w:rsidR="00EE401B" w:rsidRPr="00EE401B">
        <w:rPr>
          <w:b w:val="0"/>
          <w:i/>
          <w:sz w:val="20"/>
          <w:szCs w:val="20"/>
        </w:rPr>
        <w:t xml:space="preserve"> Data 2007-2014</w:t>
      </w:r>
      <w:r w:rsidR="00334E55">
        <w:rPr>
          <w:b w:val="0"/>
          <w:i/>
          <w:sz w:val="20"/>
          <w:szCs w:val="20"/>
          <w:lang w:val="en-US"/>
        </w:rPr>
        <w:t xml:space="preserve">, EVCA, </w:t>
      </w:r>
      <w:hyperlink r:id="rId9" w:anchor="i" w:history="1">
        <w:r w:rsidR="00334E55" w:rsidRPr="00746B88">
          <w:rPr>
            <w:rStyle w:val="Hyperlink"/>
            <w:b w:val="0"/>
            <w:i/>
            <w:sz w:val="20"/>
            <w:szCs w:val="20"/>
            <w:lang w:val="en-US"/>
          </w:rPr>
          <w:t>http://www.evca.eu/news-opinion/publications/#i</w:t>
        </w:r>
      </w:hyperlink>
      <w:r w:rsidR="00334E55">
        <w:rPr>
          <w:b w:val="0"/>
          <w:i/>
          <w:sz w:val="20"/>
          <w:szCs w:val="20"/>
          <w:lang w:val="en-US"/>
        </w:rPr>
        <w:t xml:space="preserve"> </w:t>
      </w:r>
    </w:p>
    <w:p w:rsidR="004B7194" w:rsidRPr="00EE401B" w:rsidRDefault="004B7194" w:rsidP="004B7194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4B7194" w:rsidRDefault="004B7194" w:rsidP="004B7194">
      <w:pPr>
        <w:rPr>
          <w:rFonts w:ascii="Times New Roman" w:hAnsi="Times New Roman" w:cs="Times New Roman"/>
          <w:b/>
          <w:sz w:val="24"/>
          <w:szCs w:val="24"/>
        </w:rPr>
      </w:pPr>
      <w:r w:rsidRPr="00BA1FB5">
        <w:rPr>
          <w:rFonts w:ascii="Times New Roman" w:hAnsi="Times New Roman" w:cs="Times New Roman"/>
          <w:b/>
          <w:sz w:val="24"/>
          <w:szCs w:val="24"/>
        </w:rPr>
        <w:lastRenderedPageBreak/>
        <w:t>Таблица №2 Статистика на рисковите инвестиции в Европа по сектори (хил. евр</w:t>
      </w:r>
      <w:r w:rsidR="00BF6A3F">
        <w:rPr>
          <w:rFonts w:ascii="Times New Roman" w:hAnsi="Times New Roman" w:cs="Times New Roman"/>
          <w:b/>
          <w:sz w:val="24"/>
          <w:szCs w:val="24"/>
        </w:rPr>
        <w:t>о</w:t>
      </w:r>
      <w:r w:rsidRPr="00BA1FB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vertAnchor="text" w:horzAnchor="margin" w:tblpY="-34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1020"/>
        <w:gridCol w:w="681"/>
        <w:gridCol w:w="1020"/>
        <w:gridCol w:w="681"/>
        <w:gridCol w:w="1134"/>
        <w:gridCol w:w="709"/>
        <w:gridCol w:w="1020"/>
        <w:gridCol w:w="823"/>
        <w:gridCol w:w="1134"/>
        <w:gridCol w:w="708"/>
        <w:gridCol w:w="1020"/>
        <w:gridCol w:w="681"/>
      </w:tblGrid>
      <w:tr w:rsidR="0061194D" w:rsidRPr="00F36CD4" w:rsidTr="003F4C0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94D" w:rsidRPr="00F36CD4" w:rsidRDefault="0061194D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61194D" w:rsidRPr="00BF6A3F" w:rsidRDefault="0061194D" w:rsidP="00BF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BF6A3F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Инвестиции / сектори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2007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2008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2009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2011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61194D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2013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г.</w:t>
            </w:r>
          </w:p>
          <w:p w:rsidR="0061194D" w:rsidRPr="0061194D" w:rsidRDefault="0061194D" w:rsidP="006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Размер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%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Селско стопанство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454564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163802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206686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195113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136641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758020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2,01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Бизнес и индустриални продукти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9473532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8796048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2576824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3623410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6403467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4721084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4908982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13,01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Бизнес и индустриални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7324077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4938865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1899312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3939839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3207550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4321302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3230498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8,56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Химия и материали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2628237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2479815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695921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1367624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1405822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1902149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843456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2,24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Комуникации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10506121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5877969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3594398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4956677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5112969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3651795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3437998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9,11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Компютри и електроника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3986269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4345677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1948763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3830510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4936132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2857103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2831354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7,51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Строителство</w:t>
            </w: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3541889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2287917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439484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586972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1212074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829330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413581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1,10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Потребителски стоки &amp; търговия на дребно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10708562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7100192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3023495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8780236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6990642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5260499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5452809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14,46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Потребителски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7519233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3157401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1729693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3670489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3236879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3383059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3469865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9,20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Енергия и околна среза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1845534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4871404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1877168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1658613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2352220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1964166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2635460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6,99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Финансови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3583703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3039414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2374519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2433663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3304616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1560412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2193952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5,82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Наука за живота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5922141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3658807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5953914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5922674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5552760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5694054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15,09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Недвижимо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70072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76543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204648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599881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703272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123479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0,33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3843072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1299686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677789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2085135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2202419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755424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1306597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3,46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Некласифицирани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289349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269914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421478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1,12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72855807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54639754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25049319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43318526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47043793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37694128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37721583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100</w:t>
            </w:r>
          </w:p>
        </w:tc>
      </w:tr>
      <w:tr w:rsidR="00334E55" w:rsidRPr="00F36CD4" w:rsidTr="0061194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BF6A3F" w:rsidP="00334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 т.ч. Високи</w:t>
            </w:r>
            <w:r w:rsidR="00334E5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6808540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9,35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5132011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9,39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2876628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3536955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8,16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5610635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3168227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3225750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55" w:rsidRPr="00F36CD4" w:rsidRDefault="00334E55" w:rsidP="00334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F36C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8,55</w:t>
            </w:r>
          </w:p>
        </w:tc>
      </w:tr>
    </w:tbl>
    <w:p w:rsidR="004B7194" w:rsidRPr="00334E55" w:rsidRDefault="00334E55" w:rsidP="004B7194">
      <w:pPr>
        <w:rPr>
          <w:rFonts w:ascii="Times New Roman" w:hAnsi="Times New Roman" w:cs="Times New Roman"/>
          <w:lang w:val="en-US"/>
        </w:rPr>
        <w:sectPr w:rsidR="004B7194" w:rsidRPr="00334E55" w:rsidSect="00334E55">
          <w:pgSz w:w="16838" w:h="11906" w:orient="landscape"/>
          <w:pgMar w:top="568" w:right="1418" w:bottom="851" w:left="1418" w:header="709" w:footer="709" w:gutter="0"/>
          <w:cols w:space="708"/>
          <w:docGrid w:linePitch="360"/>
        </w:sectPr>
      </w:pPr>
      <w:r w:rsidRPr="00334E55">
        <w:rPr>
          <w:rFonts w:ascii="Times New Roman" w:hAnsi="Times New Roman" w:cs="Times New Roman"/>
          <w:i/>
          <w:sz w:val="20"/>
          <w:szCs w:val="20"/>
        </w:rPr>
        <w:t xml:space="preserve">Източник: </w:t>
      </w:r>
      <w:proofErr w:type="spellStart"/>
      <w:r w:rsidRPr="00334E55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334E5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34E55">
        <w:rPr>
          <w:rFonts w:ascii="Times New Roman" w:hAnsi="Times New Roman" w:cs="Times New Roman"/>
          <w:i/>
          <w:sz w:val="20"/>
          <w:szCs w:val="20"/>
        </w:rPr>
        <w:t>Private</w:t>
      </w:r>
      <w:proofErr w:type="spellEnd"/>
      <w:r w:rsidRPr="00334E55">
        <w:rPr>
          <w:rFonts w:ascii="Times New Roman" w:hAnsi="Times New Roman" w:cs="Times New Roman"/>
          <w:i/>
          <w:sz w:val="20"/>
          <w:szCs w:val="20"/>
        </w:rPr>
        <w:t xml:space="preserve"> Equity </w:t>
      </w:r>
      <w:proofErr w:type="spellStart"/>
      <w:r w:rsidRPr="00334E55">
        <w:rPr>
          <w:rFonts w:ascii="Times New Roman" w:hAnsi="Times New Roman" w:cs="Times New Roman"/>
          <w:i/>
          <w:sz w:val="20"/>
          <w:szCs w:val="20"/>
        </w:rPr>
        <w:t>Activity</w:t>
      </w:r>
      <w:proofErr w:type="spellEnd"/>
      <w:r w:rsidRPr="00334E55">
        <w:rPr>
          <w:rFonts w:ascii="Times New Roman" w:hAnsi="Times New Roman" w:cs="Times New Roman"/>
          <w:i/>
          <w:sz w:val="20"/>
          <w:szCs w:val="20"/>
        </w:rPr>
        <w:t xml:space="preserve"> Data 2007-2014</w:t>
      </w:r>
      <w:r w:rsidRPr="00334E55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EVCA, </w:t>
      </w:r>
      <w:hyperlink r:id="rId10" w:anchor="i" w:history="1">
        <w:r w:rsidRPr="00334E55"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http://www.evca.eu/news-opinion/publications/#i</w:t>
        </w:r>
      </w:hyperlink>
    </w:p>
    <w:p w:rsidR="00237D3A" w:rsidRDefault="00237D3A" w:rsidP="00F0622D">
      <w:pPr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A271FD">
        <w:rPr>
          <w:rFonts w:ascii="TimesNewRoman" w:hAnsi="TimesNewRoman" w:cs="TimesNewRoman"/>
          <w:sz w:val="24"/>
          <w:szCs w:val="24"/>
        </w:rPr>
        <w:lastRenderedPageBreak/>
        <w:t>инвестиции</w:t>
      </w:r>
      <w:r w:rsidRPr="00024D16">
        <w:rPr>
          <w:rFonts w:ascii="TimesNewRoman" w:hAnsi="TimesNewRoman" w:cs="TimesNewRoman"/>
          <w:sz w:val="24"/>
          <w:szCs w:val="24"/>
        </w:rPr>
        <w:t>, а през 2013 г. тази цифра достигна 24,92 % (Таблица 1). Кулминацията на тази печеливша тенденция е през 2010 г.,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24D16">
        <w:rPr>
          <w:rFonts w:ascii="TimesNewRoman" w:hAnsi="TimesNewRoman" w:cs="TimesNewRoman"/>
          <w:sz w:val="24"/>
          <w:szCs w:val="24"/>
        </w:rPr>
        <w:t xml:space="preserve">когато </w:t>
      </w:r>
      <w:r>
        <w:rPr>
          <w:rFonts w:ascii="TimesNewRoman" w:hAnsi="TimesNewRoman" w:cs="TimesNewRoman"/>
          <w:sz w:val="24"/>
          <w:szCs w:val="24"/>
        </w:rPr>
        <w:t xml:space="preserve">инвестициите възлизат на </w:t>
      </w:r>
      <w:r w:rsidRPr="00024D16">
        <w:rPr>
          <w:rFonts w:ascii="TimesNewRoman" w:hAnsi="TimesNewRoman" w:cs="TimesNewRoman"/>
          <w:sz w:val="24"/>
          <w:szCs w:val="24"/>
        </w:rPr>
        <w:t xml:space="preserve">12,7 д. евро, </w:t>
      </w:r>
      <w:r>
        <w:rPr>
          <w:rFonts w:ascii="TimesNewRoman" w:hAnsi="TimesNewRoman" w:cs="TimesNewRoman"/>
          <w:sz w:val="24"/>
          <w:szCs w:val="24"/>
        </w:rPr>
        <w:t>или</w:t>
      </w:r>
      <w:r w:rsidRPr="00024D16">
        <w:rPr>
          <w:rFonts w:ascii="TimesNewRoman" w:hAnsi="TimesNewRoman" w:cs="TimesNewRoman"/>
          <w:sz w:val="24"/>
          <w:szCs w:val="24"/>
        </w:rPr>
        <w:t xml:space="preserve"> 28,63 % от всички европейски инвестиции. </w:t>
      </w:r>
      <w:r>
        <w:rPr>
          <w:rFonts w:ascii="TimesNewRoman" w:hAnsi="TimesNewRoman" w:cs="TimesNewRoman"/>
          <w:sz w:val="24"/>
          <w:szCs w:val="24"/>
        </w:rPr>
        <w:t xml:space="preserve">Любопитно е да се отбележи, че Великобритания доминира и при инвестициите на неевропейски фондове за рисков капитал в Европа (следвана от Германия, Италия и Франция), като процента дори се покачва от 60,3 % в началото на периода до 61,7% в края му. Това може да се обясни с </w:t>
      </w:r>
      <w:proofErr w:type="spellStart"/>
      <w:r>
        <w:rPr>
          <w:rFonts w:ascii="TimesNewRoman" w:hAnsi="TimesNewRoman" w:cs="TimesNewRoman"/>
          <w:sz w:val="24"/>
          <w:szCs w:val="24"/>
        </w:rPr>
        <w:t>аутсайдерската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концепция за управление на капитала и ликвидния капиталов пазар, които дават големи възможности за печалби при изход от инвестицията.</w:t>
      </w:r>
    </w:p>
    <w:p w:rsidR="0087128A" w:rsidRDefault="00237D3A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A271FD">
        <w:rPr>
          <w:rFonts w:ascii="TimesNewRoman" w:hAnsi="TimesNewRoman" w:cs="TimesNewRoman"/>
          <w:sz w:val="24"/>
          <w:szCs w:val="24"/>
        </w:rPr>
        <w:t>Другите основни играчи на европейския пазар са най-големите икономики на Стария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7128A">
        <w:rPr>
          <w:rFonts w:ascii="TimesNewRoman" w:hAnsi="TimesNewRoman" w:cs="TimesNewRoman"/>
          <w:sz w:val="24"/>
          <w:szCs w:val="24"/>
        </w:rPr>
        <w:t xml:space="preserve">континент, а именно Франция, Германия и Италия. Позицията им на пазара е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6469BE" w:rsidRPr="0087128A">
        <w:rPr>
          <w:rFonts w:ascii="TimesNewRoman" w:hAnsi="TimesNewRoman" w:cs="TimesNewRoman"/>
          <w:sz w:val="24"/>
          <w:szCs w:val="24"/>
        </w:rPr>
        <w:t xml:space="preserve">стабилна, като през 2007 г. в тези три страни се инвестираха 26,1 млрд. евро, или </w:t>
      </w:r>
      <w:r w:rsidR="006469BE">
        <w:rPr>
          <w:rFonts w:ascii="TimesNewRoman" w:hAnsi="TimesNewRoman" w:cs="TimesNewRoman"/>
          <w:sz w:val="24"/>
          <w:szCs w:val="24"/>
        </w:rPr>
        <w:t xml:space="preserve"> 34,</w:t>
      </w:r>
      <w:r w:rsidR="00D01A0C">
        <w:rPr>
          <w:rFonts w:ascii="TimesNewRoman" w:hAnsi="TimesNewRoman" w:cs="TimesNewRoman"/>
          <w:sz w:val="24"/>
          <w:szCs w:val="24"/>
        </w:rPr>
        <w:t>96 %</w:t>
      </w:r>
      <w:r w:rsidR="006469BE" w:rsidRPr="0087128A">
        <w:rPr>
          <w:rFonts w:ascii="TimesNewRoman" w:hAnsi="TimesNewRoman" w:cs="TimesNewRoman"/>
          <w:sz w:val="24"/>
          <w:szCs w:val="24"/>
        </w:rPr>
        <w:t xml:space="preserve"> от целия обем на инвестициите</w:t>
      </w:r>
      <w:r w:rsidR="006469BE" w:rsidRPr="0087128A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6469BE" w:rsidRPr="0087128A">
        <w:rPr>
          <w:rFonts w:ascii="TimesNewRoman" w:hAnsi="TimesNewRoman" w:cs="TimesNewRoman"/>
          <w:sz w:val="24"/>
          <w:szCs w:val="24"/>
        </w:rPr>
        <w:t>(</w:t>
      </w:r>
      <w:r w:rsidR="006469BE">
        <w:rPr>
          <w:rFonts w:ascii="TimesNewRoman" w:hAnsi="TimesNewRoman" w:cs="TimesNewRoman"/>
          <w:sz w:val="24"/>
          <w:szCs w:val="24"/>
        </w:rPr>
        <w:t xml:space="preserve">срещу </w:t>
      </w:r>
      <w:r w:rsidR="006469BE" w:rsidRPr="0087128A">
        <w:rPr>
          <w:rFonts w:ascii="TimesNewRoman" w:hAnsi="TimesNewRoman" w:cs="TimesNewRoman"/>
          <w:sz w:val="24"/>
          <w:szCs w:val="24"/>
        </w:rPr>
        <w:t>33,45 % в края на периода).</w:t>
      </w:r>
      <w:r w:rsidR="006469BE" w:rsidRPr="00A271FD">
        <w:rPr>
          <w:rFonts w:ascii="TimesNewRoman" w:hAnsi="TimesNewRoman" w:cs="TimesNewRoman"/>
          <w:sz w:val="24"/>
          <w:szCs w:val="24"/>
        </w:rPr>
        <w:t xml:space="preserve"> </w:t>
      </w:r>
      <w:r w:rsidR="0087128A" w:rsidRPr="00A271FD">
        <w:rPr>
          <w:rFonts w:ascii="TimesNewRoman" w:hAnsi="TimesNewRoman" w:cs="TimesNewRoman"/>
          <w:sz w:val="24"/>
          <w:szCs w:val="24"/>
        </w:rPr>
        <w:t>При тези страни повечето средства се набират на националните им</w:t>
      </w:r>
      <w:r w:rsidR="0087128A">
        <w:rPr>
          <w:rFonts w:ascii="TimesNewRoman" w:hAnsi="TimesNewRoman" w:cs="TimesNewRoman"/>
          <w:sz w:val="24"/>
          <w:szCs w:val="24"/>
        </w:rPr>
        <w:t xml:space="preserve"> </w:t>
      </w:r>
      <w:r w:rsidR="0087128A" w:rsidRPr="00A271FD">
        <w:rPr>
          <w:rFonts w:ascii="TimesNewRoman" w:hAnsi="TimesNewRoman" w:cs="TimesNewRoman"/>
          <w:sz w:val="24"/>
          <w:szCs w:val="24"/>
        </w:rPr>
        <w:t>пазари и остават в страната под формата на инвестиции, които, в случая на Италия и</w:t>
      </w:r>
      <w:r w:rsidR="0087128A">
        <w:rPr>
          <w:rFonts w:ascii="TimesNewRoman" w:hAnsi="TimesNewRoman" w:cs="TimesNewRoman"/>
          <w:sz w:val="24"/>
          <w:szCs w:val="24"/>
        </w:rPr>
        <w:t xml:space="preserve"> </w:t>
      </w:r>
      <w:r w:rsidR="0087128A" w:rsidRPr="00A271FD">
        <w:rPr>
          <w:rFonts w:ascii="TimesNewRoman" w:hAnsi="TimesNewRoman" w:cs="TimesNewRoman"/>
          <w:sz w:val="24"/>
          <w:szCs w:val="24"/>
        </w:rPr>
        <w:t>Германия през 2009 г., се допълват от капитал, внесен отвън.</w:t>
      </w:r>
    </w:p>
    <w:p w:rsidR="0087128A" w:rsidRPr="008E035F" w:rsidRDefault="00D232E4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Предпочитаният вариант за изход от на инвестицията в Европа е търговска продажба (26,61 % от изходите за 2013 г.), последван от препродажбата на друг риск инвеститор (26,22 %) и едва на трето място процедурата по публична емисия на акции (</w:t>
      </w:r>
      <w:r w:rsidR="00A07977">
        <w:rPr>
          <w:rFonts w:ascii="TimesNewRoman" w:hAnsi="TimesNewRoman" w:cs="TimesNewRoman"/>
          <w:sz w:val="24"/>
          <w:szCs w:val="24"/>
        </w:rPr>
        <w:t>6,69%). Срокът за успешен изход от инвестицията при търговска продажба на бизнеса е константна за периода около 5,7-6,3 г, докато при изхода посредством капиталовия пазар се наблюдава забавяне с около 2 пъти (от 3,8 до 6,3 г.).</w:t>
      </w:r>
      <w:r w:rsidR="00D01A0C">
        <w:rPr>
          <w:rFonts w:ascii="TimesNewRoman" w:hAnsi="TimesNewRoman" w:cs="TimesNewRoman"/>
          <w:sz w:val="24"/>
          <w:szCs w:val="24"/>
        </w:rPr>
        <w:t xml:space="preserve"> </w:t>
      </w:r>
      <w:r w:rsidR="008E035F" w:rsidRPr="008E035F">
        <w:rPr>
          <w:rFonts w:ascii="TimesNewRoman" w:hAnsi="TimesNewRoman" w:cs="TimesNewRoman"/>
          <w:sz w:val="24"/>
          <w:szCs w:val="24"/>
        </w:rPr>
        <w:t>Най-голямата пречка за повечето IPO-та се явява лошото състояние на пазара и по-ниската оценка в сравнение с тази от частния сектор.</w:t>
      </w:r>
    </w:p>
    <w:p w:rsidR="000031D4" w:rsidRDefault="008E035F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отношение на секторната концентрация, данните показват, че р</w:t>
      </w:r>
      <w:r w:rsidR="00462442">
        <w:rPr>
          <w:rFonts w:ascii="TimesNewRoman" w:hAnsi="TimesNewRoman" w:cs="TimesNewRoman"/>
          <w:sz w:val="24"/>
          <w:szCs w:val="24"/>
        </w:rPr>
        <w:t>исковите инвестиции в Европа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 са съсредоточени </w:t>
      </w:r>
      <w:r>
        <w:rPr>
          <w:rFonts w:ascii="TimesNewRoman" w:hAnsi="TimesNewRoman" w:cs="TimesNewRoman"/>
          <w:sz w:val="24"/>
          <w:szCs w:val="24"/>
        </w:rPr>
        <w:t xml:space="preserve">главно </w:t>
      </w:r>
      <w:r w:rsidR="00A271FD" w:rsidRPr="00A271FD">
        <w:rPr>
          <w:rFonts w:ascii="TimesNewRoman" w:hAnsi="TimesNewRoman" w:cs="TimesNewRoman"/>
          <w:sz w:val="24"/>
          <w:szCs w:val="24"/>
        </w:rPr>
        <w:t>в пет сектора</w:t>
      </w:r>
      <w:r w:rsidR="0038207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382076">
        <w:rPr>
          <w:rFonts w:ascii="TimesNewRoman" w:hAnsi="TimesNewRoman" w:cs="TimesNewRoman"/>
          <w:sz w:val="24"/>
          <w:szCs w:val="24"/>
        </w:rPr>
        <w:t>(Таблица 2)</w:t>
      </w:r>
      <w:r w:rsidR="00A271FD" w:rsidRPr="00A271FD">
        <w:rPr>
          <w:rFonts w:ascii="TimesNewRoman" w:hAnsi="TimesNewRoman" w:cs="TimesNewRoman"/>
          <w:sz w:val="24"/>
          <w:szCs w:val="24"/>
        </w:rPr>
        <w:t xml:space="preserve">: </w:t>
      </w:r>
      <w:r w:rsidR="000031D4" w:rsidRPr="00F97D0E">
        <w:rPr>
          <w:rFonts w:ascii="TimesNewRoman" w:hAnsi="TimesNewRoman" w:cs="TimesNewRoman"/>
          <w:sz w:val="24"/>
          <w:szCs w:val="24"/>
        </w:rPr>
        <w:t>потребителските стоки и търговията на дребно</w:t>
      </w:r>
      <w:r w:rsidR="00F715F8">
        <w:rPr>
          <w:rFonts w:ascii="TimesNewRoman" w:hAnsi="TimesNewRoman" w:cs="TimesNewRoman"/>
          <w:sz w:val="24"/>
          <w:szCs w:val="24"/>
        </w:rPr>
        <w:t xml:space="preserve"> (</w:t>
      </w:r>
      <w:r w:rsidR="000031D4" w:rsidRPr="00F97D0E">
        <w:rPr>
          <w:rFonts w:ascii="TimesNewRoman" w:hAnsi="TimesNewRoman" w:cs="TimesNewRoman"/>
          <w:sz w:val="24"/>
          <w:szCs w:val="24"/>
        </w:rPr>
        <w:t>лидер в три от анализираните шест</w:t>
      </w:r>
      <w:r w:rsidR="000031D4">
        <w:rPr>
          <w:rFonts w:ascii="TimesNewRoman" w:hAnsi="TimesNewRoman" w:cs="TimesNewRoman"/>
          <w:sz w:val="24"/>
          <w:szCs w:val="24"/>
        </w:rPr>
        <w:t xml:space="preserve"> години</w:t>
      </w:r>
      <w:r w:rsidR="00F715F8">
        <w:rPr>
          <w:rFonts w:ascii="TimesNewRoman" w:hAnsi="TimesNewRoman" w:cs="TimesNewRoman"/>
          <w:sz w:val="24"/>
          <w:szCs w:val="24"/>
        </w:rPr>
        <w:t xml:space="preserve">), </w:t>
      </w:r>
      <w:r w:rsidR="000031D4">
        <w:rPr>
          <w:rFonts w:ascii="TimesNewRoman" w:hAnsi="TimesNewRoman" w:cs="TimesNewRoman"/>
          <w:sz w:val="24"/>
          <w:szCs w:val="24"/>
        </w:rPr>
        <w:t xml:space="preserve">изместени по настоящем от инвестициите в сектор  наука за живота, комуникациите, бизнес и индустриалните продукти и потребителски услуги. През 2013 г. </w:t>
      </w:r>
      <w:r w:rsidR="00322762">
        <w:rPr>
          <w:rFonts w:ascii="TimesNewRoman" w:hAnsi="TimesNewRoman" w:cs="TimesNewRoman"/>
          <w:sz w:val="24"/>
          <w:szCs w:val="24"/>
        </w:rPr>
        <w:t>най-висок е делът</w:t>
      </w:r>
      <w:r w:rsidR="00F97D0E">
        <w:rPr>
          <w:rFonts w:ascii="TimesNewRoman" w:hAnsi="TimesNewRoman" w:cs="TimesNewRoman"/>
          <w:sz w:val="24"/>
          <w:szCs w:val="24"/>
        </w:rPr>
        <w:t xml:space="preserve"> на инвестициите в компании от сектор наука за живота </w:t>
      </w:r>
      <w:r w:rsidR="000031D4">
        <w:rPr>
          <w:rFonts w:ascii="TimesNewRoman" w:hAnsi="TimesNewRoman" w:cs="TimesNewRoman"/>
          <w:sz w:val="24"/>
          <w:szCs w:val="24"/>
        </w:rPr>
        <w:t xml:space="preserve"> 17,14 %</w:t>
      </w:r>
      <w:r w:rsidR="00F97D0E">
        <w:rPr>
          <w:rFonts w:ascii="TimesNewRoman" w:hAnsi="TimesNewRoman" w:cs="TimesNewRoman"/>
          <w:sz w:val="24"/>
          <w:szCs w:val="24"/>
        </w:rPr>
        <w:t xml:space="preserve"> (или 906 компании), последвани от инвестиции в компании от сектора на бизнес продуктите 10,52 % (556 компании) и 9,39 % инвестиции в компании от сектора за потребителски стоки (496 компании).</w:t>
      </w:r>
      <w:r w:rsidR="00322762">
        <w:rPr>
          <w:rFonts w:ascii="TimesNewRoman" w:hAnsi="TimesNewRoman" w:cs="TimesNewRoman"/>
          <w:sz w:val="24"/>
          <w:szCs w:val="24"/>
        </w:rPr>
        <w:t xml:space="preserve"> Това в голяма степен съответства на глобалните тенденции в </w:t>
      </w:r>
      <w:r w:rsidR="00322762">
        <w:rPr>
          <w:rFonts w:ascii="TimesNewRoman" w:hAnsi="TimesNewRoman" w:cs="TimesNewRoman"/>
          <w:sz w:val="24"/>
          <w:szCs w:val="24"/>
        </w:rPr>
        <w:lastRenderedPageBreak/>
        <w:t>рисковия капитал, като се забелязват по-ниски нива на подкрепа за високотехнологич</w:t>
      </w:r>
      <w:r w:rsidR="00CF12F4">
        <w:rPr>
          <w:rFonts w:ascii="TimesNewRoman" w:hAnsi="TimesNewRoman" w:cs="TimesNewRoman"/>
          <w:sz w:val="24"/>
          <w:szCs w:val="24"/>
        </w:rPr>
        <w:t xml:space="preserve">ните начинания, в сравнение със </w:t>
      </w:r>
      <w:r w:rsidR="00322762">
        <w:rPr>
          <w:rFonts w:ascii="TimesNewRoman" w:hAnsi="TimesNewRoman" w:cs="TimesNewRoman"/>
          <w:sz w:val="24"/>
          <w:szCs w:val="24"/>
        </w:rPr>
        <w:t>САЩ.</w:t>
      </w:r>
    </w:p>
    <w:p w:rsidR="003673CF" w:rsidRDefault="00875122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122">
        <w:rPr>
          <w:rFonts w:ascii="Times New Roman" w:hAnsi="Times New Roman" w:cs="Times New Roman"/>
          <w:sz w:val="24"/>
          <w:szCs w:val="24"/>
        </w:rPr>
        <w:t>На фона на активността на рисковите инвестиции в Европа, тази в България е вяла.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3EE">
        <w:rPr>
          <w:rFonts w:ascii="Times New Roman" w:hAnsi="Times New Roman" w:cs="Times New Roman"/>
          <w:sz w:val="24"/>
          <w:szCs w:val="24"/>
        </w:rPr>
        <w:t xml:space="preserve">Източниците на рисков капитал в България са главно правителствени агенции (70 %) и частни индивиди (26,32 %). На практика пенсионните фондове и застрахователните компании не участват в подкрепата за рискови начинания. </w:t>
      </w:r>
      <w:r w:rsidR="003673CF">
        <w:rPr>
          <w:rFonts w:ascii="Times New Roman" w:hAnsi="Times New Roman" w:cs="Times New Roman"/>
          <w:sz w:val="24"/>
          <w:szCs w:val="24"/>
        </w:rPr>
        <w:t>Географски източните на фондовете са основно европейски 91,37 % (като само 17,35 % от тях са м</w:t>
      </w:r>
      <w:r w:rsidR="00637F07">
        <w:rPr>
          <w:rFonts w:ascii="Times New Roman" w:hAnsi="Times New Roman" w:cs="Times New Roman"/>
          <w:sz w:val="24"/>
          <w:szCs w:val="24"/>
        </w:rPr>
        <w:t>естни). Благоприятна тенденция се наблюдава в</w:t>
      </w:r>
      <w:r w:rsidR="003673CF">
        <w:rPr>
          <w:rFonts w:ascii="Times New Roman" w:hAnsi="Times New Roman" w:cs="Times New Roman"/>
          <w:sz w:val="24"/>
          <w:szCs w:val="24"/>
        </w:rPr>
        <w:t xml:space="preserve"> използването на средствата –</w:t>
      </w:r>
      <w:r w:rsidR="00637F07">
        <w:rPr>
          <w:rFonts w:ascii="Times New Roman" w:hAnsi="Times New Roman" w:cs="Times New Roman"/>
          <w:sz w:val="24"/>
          <w:szCs w:val="24"/>
        </w:rPr>
        <w:t xml:space="preserve"> </w:t>
      </w:r>
      <w:r w:rsidR="003673CF">
        <w:rPr>
          <w:rFonts w:ascii="Times New Roman" w:hAnsi="Times New Roman" w:cs="Times New Roman"/>
          <w:sz w:val="24"/>
          <w:szCs w:val="24"/>
        </w:rPr>
        <w:t xml:space="preserve">докато в началото на периода те главно се използват за изкупуване на бизнеси, то от 2008 г. насам се насочват за развитие на продукта/услугата. По отношение на съотношението между първоначална и последваща инвестиция в портфейлната компания не може да се изведе ясна тенденция. </w:t>
      </w:r>
    </w:p>
    <w:p w:rsidR="00611BCE" w:rsidRDefault="00446A0F" w:rsidP="00F0622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Безспорният</w:t>
      </w:r>
      <w:r w:rsidR="00687A5D">
        <w:rPr>
          <w:rFonts w:ascii="Times New Roman" w:hAnsi="Times New Roman" w:cs="Times New Roman"/>
          <w:sz w:val="24"/>
          <w:szCs w:val="24"/>
        </w:rPr>
        <w:t xml:space="preserve"> лидер при рисковите инвестиции в България за разглеждания период са комуникациите (с най-нисък относителен дял от 66,39 % през 2007 г. и най-висок 88,93 % през 2011 г.), следвани от </w:t>
      </w:r>
      <w:r>
        <w:rPr>
          <w:rFonts w:ascii="Times New Roman" w:hAnsi="Times New Roman" w:cs="Times New Roman"/>
          <w:sz w:val="24"/>
          <w:szCs w:val="24"/>
        </w:rPr>
        <w:t xml:space="preserve">сектора на </w:t>
      </w:r>
      <w:r w:rsidR="00687A5D">
        <w:rPr>
          <w:rFonts w:ascii="Times New Roman" w:hAnsi="Times New Roman" w:cs="Times New Roman"/>
          <w:sz w:val="24"/>
          <w:szCs w:val="24"/>
        </w:rPr>
        <w:t>финансовите услуги</w:t>
      </w:r>
      <w:r>
        <w:rPr>
          <w:rFonts w:ascii="Times New Roman" w:hAnsi="Times New Roman" w:cs="Times New Roman"/>
          <w:sz w:val="24"/>
          <w:szCs w:val="24"/>
        </w:rPr>
        <w:t xml:space="preserve"> (най-предпочитани през 2008 г. с дял от 43,17%)</w:t>
      </w:r>
      <w:r w:rsidR="00687A5D">
        <w:rPr>
          <w:rFonts w:ascii="Times New Roman" w:hAnsi="Times New Roman" w:cs="Times New Roman"/>
          <w:sz w:val="24"/>
          <w:szCs w:val="24"/>
        </w:rPr>
        <w:t xml:space="preserve"> и потребителските </w:t>
      </w:r>
      <w:r>
        <w:rPr>
          <w:rFonts w:ascii="Times New Roman" w:hAnsi="Times New Roman" w:cs="Times New Roman"/>
          <w:sz w:val="24"/>
          <w:szCs w:val="24"/>
        </w:rPr>
        <w:t xml:space="preserve">стоки (на първо място за 2013 г. с дял от 54,06 %). Броят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портфейлните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обаче е твърде нисък за периода – стартирайки с 9 компании в началото на анализирания период и </w:t>
      </w:r>
      <w:r w:rsidR="00637F07">
        <w:rPr>
          <w:rFonts w:ascii="Times New Roman" w:hAnsi="Times New Roman" w:cs="Times New Roman"/>
          <w:sz w:val="24"/>
          <w:szCs w:val="24"/>
        </w:rPr>
        <w:t>4 в края му. Като цяло, механизмът</w:t>
      </w:r>
      <w:r>
        <w:rPr>
          <w:rFonts w:ascii="Times New Roman" w:hAnsi="Times New Roman" w:cs="Times New Roman"/>
          <w:sz w:val="24"/>
          <w:szCs w:val="24"/>
        </w:rPr>
        <w:t xml:space="preserve"> на рисковото финансиране не е достъп</w:t>
      </w:r>
      <w:r w:rsidR="001A03EE">
        <w:rPr>
          <w:rFonts w:ascii="Times New Roman" w:hAnsi="Times New Roman" w:cs="Times New Roman"/>
          <w:sz w:val="24"/>
          <w:szCs w:val="24"/>
        </w:rPr>
        <w:t>ен за българските предприемачи, които търсят финансиране главно чрез банков</w:t>
      </w:r>
      <w:r w:rsidR="00875122">
        <w:rPr>
          <w:rFonts w:ascii="Times New Roman" w:hAnsi="Times New Roman" w:cs="Times New Roman"/>
          <w:sz w:val="24"/>
          <w:szCs w:val="24"/>
        </w:rPr>
        <w:t>о финансиране</w:t>
      </w:r>
      <w:r w:rsidR="001A03EE">
        <w:rPr>
          <w:rFonts w:ascii="Times New Roman" w:hAnsi="Times New Roman" w:cs="Times New Roman"/>
          <w:sz w:val="24"/>
          <w:szCs w:val="24"/>
        </w:rPr>
        <w:t>.</w:t>
      </w:r>
    </w:p>
    <w:p w:rsidR="00611BCE" w:rsidRDefault="007B4169" w:rsidP="00F0622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Style w:val="hps"/>
          <w:rFonts w:ascii="Times New Roman" w:hAnsi="Times New Roman" w:cs="Times New Roman"/>
          <w:sz w:val="24"/>
          <w:szCs w:val="24"/>
        </w:rPr>
        <w:t>Казаното дотук ни дава основание да заключим, че с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редата на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финансиране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за предприемачите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в Европа е по-позитивна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и по-добре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б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алансирана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, отколкото </w:t>
      </w:r>
      <w:r w:rsidRPr="004B62BD">
        <w:rPr>
          <w:rFonts w:ascii="Times New Roman" w:hAnsi="Times New Roman" w:cs="Times New Roman"/>
          <w:sz w:val="24"/>
          <w:szCs w:val="24"/>
        </w:rPr>
        <w:t xml:space="preserve">през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последните няколко години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.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Има повече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средства и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по-голямо разнообразие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A20F88">
        <w:rPr>
          <w:rStyle w:val="hps"/>
          <w:rFonts w:ascii="Times New Roman" w:hAnsi="Times New Roman" w:cs="Times New Roman"/>
          <w:sz w:val="24"/>
          <w:szCs w:val="24"/>
        </w:rPr>
        <w:t>от източници за стартиращи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 xml:space="preserve"> бизнес начинания. 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Налице е</w:t>
      </w:r>
      <w:r w:rsidR="00611BCE" w:rsidRPr="004B62BD">
        <w:rPr>
          <w:rFonts w:ascii="Times New Roman" w:hAnsi="Times New Roman" w:cs="Times New Roman"/>
          <w:sz w:val="24"/>
          <w:szCs w:val="24"/>
        </w:rPr>
        <w:t xml:space="preserve"> </w:t>
      </w:r>
      <w:r w:rsidR="00611BCE" w:rsidRPr="004B62BD">
        <w:rPr>
          <w:rStyle w:val="hps"/>
          <w:rFonts w:ascii="Times New Roman" w:hAnsi="Times New Roman" w:cs="Times New Roman"/>
          <w:sz w:val="24"/>
          <w:szCs w:val="24"/>
        </w:rPr>
        <w:t>висока степен на доверие към инвестициите на късен етап, което се забелязва от стабилния брой изходи от инвестицията посредством капиталовия пазар и сделки по сливане и придобиване. Тези фактори предвещават едно активиране на рисковото финансиране в Европа.</w:t>
      </w:r>
    </w:p>
    <w:p w:rsidR="00DD4067" w:rsidRPr="00DD4067" w:rsidRDefault="00DD4067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67">
        <w:rPr>
          <w:rFonts w:ascii="Times New Roman" w:hAnsi="Times New Roman" w:cs="Times New Roman"/>
          <w:sz w:val="24"/>
          <w:szCs w:val="24"/>
        </w:rPr>
        <w:t>В резултат на финансовата криза о</w:t>
      </w:r>
      <w:r w:rsidR="00A20F88">
        <w:rPr>
          <w:rFonts w:ascii="Times New Roman" w:hAnsi="Times New Roman" w:cs="Times New Roman"/>
          <w:sz w:val="24"/>
          <w:szCs w:val="24"/>
        </w:rPr>
        <w:t>т 2008 г. и 2009 г. и на новите</w:t>
      </w:r>
      <w:r w:rsidR="00586C8A" w:rsidRPr="006E6C33">
        <w:rPr>
          <w:rFonts w:ascii="Times New Roman" w:hAnsi="Times New Roman" w:cs="Times New Roman"/>
          <w:sz w:val="24"/>
          <w:szCs w:val="24"/>
        </w:rPr>
        <w:t xml:space="preserve"> капиталовите изисквания</w:t>
      </w:r>
      <w:r w:rsidRPr="00DD4067">
        <w:rPr>
          <w:rFonts w:ascii="Times New Roman" w:hAnsi="Times New Roman" w:cs="Times New Roman"/>
          <w:sz w:val="24"/>
          <w:szCs w:val="24"/>
        </w:rPr>
        <w:t>, предоставянето и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 xml:space="preserve">удължаването от банките на кредитни линии за </w:t>
      </w:r>
      <w:r w:rsidR="004B305C">
        <w:rPr>
          <w:rFonts w:ascii="Times New Roman" w:hAnsi="Times New Roman" w:cs="Times New Roman"/>
          <w:sz w:val="24"/>
          <w:szCs w:val="24"/>
        </w:rPr>
        <w:t xml:space="preserve">малките </w:t>
      </w:r>
      <w:r w:rsidR="002C3CF9">
        <w:rPr>
          <w:rFonts w:ascii="Times New Roman" w:hAnsi="Times New Roman" w:cs="Times New Roman"/>
          <w:sz w:val="24"/>
          <w:szCs w:val="24"/>
        </w:rPr>
        <w:t>предприятия и стартиращи</w:t>
      </w:r>
      <w:r w:rsidR="004B305C">
        <w:rPr>
          <w:rFonts w:ascii="Times New Roman" w:hAnsi="Times New Roman" w:cs="Times New Roman"/>
          <w:sz w:val="24"/>
          <w:szCs w:val="24"/>
        </w:rPr>
        <w:t xml:space="preserve"> бизнеси</w:t>
      </w:r>
      <w:r w:rsidRPr="00DD4067">
        <w:rPr>
          <w:rFonts w:ascii="Times New Roman" w:hAnsi="Times New Roman" w:cs="Times New Roman"/>
          <w:sz w:val="24"/>
          <w:szCs w:val="24"/>
        </w:rPr>
        <w:t xml:space="preserve"> значително намаля. </w:t>
      </w:r>
      <w:r w:rsidR="004B305C">
        <w:rPr>
          <w:rFonts w:ascii="Times New Roman" w:hAnsi="Times New Roman" w:cs="Times New Roman"/>
          <w:sz w:val="24"/>
          <w:szCs w:val="24"/>
        </w:rPr>
        <w:t xml:space="preserve">Те </w:t>
      </w:r>
      <w:r w:rsidRPr="00DD4067">
        <w:rPr>
          <w:rFonts w:ascii="Times New Roman" w:hAnsi="Times New Roman" w:cs="Times New Roman"/>
          <w:sz w:val="24"/>
          <w:szCs w:val="24"/>
        </w:rPr>
        <w:t>бяха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изправени пред неотложната нужда да търсят и кандидатстват за алтернативни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източници на финансиране.</w:t>
      </w:r>
    </w:p>
    <w:p w:rsidR="00DD4067" w:rsidRPr="00DD4067" w:rsidRDefault="00A20F88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Перспективата е фондовете за рисков капитал</w:t>
      </w:r>
      <w:r w:rsidR="00DD4067" w:rsidRPr="00DD4067">
        <w:rPr>
          <w:rFonts w:ascii="Times New Roman" w:hAnsi="Times New Roman" w:cs="Times New Roman"/>
          <w:sz w:val="24"/>
          <w:szCs w:val="24"/>
        </w:rPr>
        <w:t xml:space="preserve"> да изиграят решаваща роля за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преодоляване на недостига на финансиране за инвестиции в иновации. Те предоставят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 xml:space="preserve">финансиране в капиталови или хибридни капиталови инструменти на </w:t>
      </w:r>
      <w:r w:rsidR="004B305C">
        <w:rPr>
          <w:rFonts w:ascii="Times New Roman" w:hAnsi="Times New Roman" w:cs="Times New Roman"/>
          <w:sz w:val="24"/>
          <w:szCs w:val="24"/>
        </w:rPr>
        <w:t>стартиращи компании</w:t>
      </w:r>
      <w:r w:rsidR="00DD4067" w:rsidRPr="00DD4067">
        <w:rPr>
          <w:rFonts w:ascii="Times New Roman" w:hAnsi="Times New Roman" w:cs="Times New Roman"/>
          <w:sz w:val="24"/>
          <w:szCs w:val="24"/>
        </w:rPr>
        <w:t xml:space="preserve"> и на малки предприятия, за които се счита, че имат потенциал за растеж в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дългосрочен план, в повечето случаи - за финансиране на тяхното ранно пазарно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развитие. За разлика от фондовете за дялово участие (които се съсредоточават главно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върху изкупуване на дружества), фондовете за рисков капитал инвестират в дружества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в дългосрочен план, наред с предприемачите.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67" w:rsidRPr="00DD4067" w:rsidRDefault="002C3CF9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Основният извод, който се налага е че е</w:t>
      </w:r>
      <w:r w:rsidR="00DD4067" w:rsidRPr="00DD4067">
        <w:rPr>
          <w:rFonts w:ascii="Times New Roman" w:hAnsi="Times New Roman" w:cs="Times New Roman"/>
          <w:sz w:val="24"/>
          <w:szCs w:val="24"/>
        </w:rPr>
        <w:t xml:space="preserve">вропейският </w:t>
      </w:r>
      <w:r w:rsidR="00CC0E90">
        <w:rPr>
          <w:rFonts w:ascii="Times New Roman" w:hAnsi="Times New Roman" w:cs="Times New Roman"/>
          <w:sz w:val="24"/>
          <w:szCs w:val="24"/>
        </w:rPr>
        <w:t>пазар на рисков</w:t>
      </w:r>
      <w:r w:rsidR="00DD4067" w:rsidRPr="00DD4067">
        <w:rPr>
          <w:rFonts w:ascii="Times New Roman" w:hAnsi="Times New Roman" w:cs="Times New Roman"/>
          <w:sz w:val="24"/>
          <w:szCs w:val="24"/>
        </w:rPr>
        <w:t xml:space="preserve"> капитал е фрагментиран и разпокъсан. Това води до</w:t>
      </w:r>
      <w:r w:rsidR="00C36B72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съществено, от статистическа гледна точка, нежелание на инвеститорите да инвестират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във</w:t>
      </w:r>
      <w:r w:rsidR="00E94118">
        <w:rPr>
          <w:rFonts w:ascii="Times New Roman" w:hAnsi="Times New Roman" w:cs="Times New Roman"/>
          <w:sz w:val="24"/>
          <w:szCs w:val="24"/>
        </w:rPr>
        <w:t xml:space="preserve"> фондове за рисков капитал</w:t>
      </w:r>
      <w:r w:rsidR="00DD4067" w:rsidRPr="00DD4067">
        <w:rPr>
          <w:rFonts w:ascii="Times New Roman" w:hAnsi="Times New Roman" w:cs="Times New Roman"/>
          <w:sz w:val="24"/>
          <w:szCs w:val="24"/>
        </w:rPr>
        <w:t>. Вследствие на регулаторната фрагментация,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потенциалните инвеститори в рисков капитал, като богати частни лица, пенсионни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фондове или застрахователни дружества, считат, че е трудно и скъпо да започнат да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="00DD4067" w:rsidRPr="00DD4067">
        <w:rPr>
          <w:rFonts w:ascii="Times New Roman" w:hAnsi="Times New Roman" w:cs="Times New Roman"/>
          <w:sz w:val="24"/>
          <w:szCs w:val="24"/>
        </w:rPr>
        <w:t>насочват някои от своите инвестиции към сферата на рисковия капитал.</w:t>
      </w:r>
    </w:p>
    <w:p w:rsidR="00DD4067" w:rsidRPr="00DD4067" w:rsidRDefault="00DD4067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67">
        <w:rPr>
          <w:rFonts w:ascii="Times New Roman" w:hAnsi="Times New Roman" w:cs="Times New Roman"/>
          <w:sz w:val="24"/>
          <w:szCs w:val="24"/>
        </w:rPr>
        <w:t>Настоящата липса на финансови ресурси, които да бъдат насочени към рисковия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капитал, е пряка причина за това средният ра</w:t>
      </w:r>
      <w:r w:rsidR="004B305C">
        <w:rPr>
          <w:rFonts w:ascii="Times New Roman" w:hAnsi="Times New Roman" w:cs="Times New Roman"/>
          <w:sz w:val="24"/>
          <w:szCs w:val="24"/>
        </w:rPr>
        <w:t xml:space="preserve">змер на типичния европейски фонд за рисков капитал </w:t>
      </w:r>
      <w:r w:rsidRPr="00DD4067">
        <w:rPr>
          <w:rFonts w:ascii="Times New Roman" w:hAnsi="Times New Roman" w:cs="Times New Roman"/>
          <w:sz w:val="24"/>
          <w:szCs w:val="24"/>
        </w:rPr>
        <w:t>да бъде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значително под оптималния за т</w:t>
      </w:r>
      <w:r w:rsidR="00A20F88">
        <w:rPr>
          <w:rFonts w:ascii="Times New Roman" w:hAnsi="Times New Roman" w:cs="Times New Roman"/>
          <w:sz w:val="24"/>
          <w:szCs w:val="24"/>
        </w:rPr>
        <w:t xml:space="preserve">ози </w:t>
      </w:r>
      <w:r w:rsidRPr="00DD4067">
        <w:rPr>
          <w:rFonts w:ascii="Times New Roman" w:hAnsi="Times New Roman" w:cs="Times New Roman"/>
          <w:sz w:val="24"/>
          <w:szCs w:val="24"/>
        </w:rPr>
        <w:t>вид инструмент за финансиране. На този етап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рисковият капитал играе ограничена роля във финансиран</w:t>
      </w:r>
      <w:r w:rsidR="004B305C">
        <w:rPr>
          <w:rFonts w:ascii="Times New Roman" w:hAnsi="Times New Roman" w:cs="Times New Roman"/>
          <w:sz w:val="24"/>
          <w:szCs w:val="24"/>
        </w:rPr>
        <w:t xml:space="preserve">ето на </w:t>
      </w:r>
      <w:proofErr w:type="spellStart"/>
      <w:r w:rsidR="004B305C">
        <w:rPr>
          <w:rFonts w:ascii="Times New Roman" w:hAnsi="Times New Roman" w:cs="Times New Roman"/>
          <w:sz w:val="24"/>
          <w:szCs w:val="24"/>
        </w:rPr>
        <w:t>стартъпи</w:t>
      </w:r>
      <w:proofErr w:type="spellEnd"/>
      <w:r w:rsidRPr="00DD4067">
        <w:rPr>
          <w:rFonts w:ascii="Times New Roman" w:hAnsi="Times New Roman" w:cs="Times New Roman"/>
          <w:sz w:val="24"/>
          <w:szCs w:val="24"/>
        </w:rPr>
        <w:t>. Отсъствието на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ефикасен сектор за рисков капитал не позволява на европейските новатори и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иновативни бизнес начинания да разгърнат напълно търговския си потенциал. Това от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 xml:space="preserve">своя страна </w:t>
      </w:r>
      <w:r w:rsidR="002C3CF9">
        <w:rPr>
          <w:rFonts w:ascii="Times New Roman" w:hAnsi="Times New Roman" w:cs="Times New Roman"/>
          <w:sz w:val="24"/>
          <w:szCs w:val="24"/>
        </w:rPr>
        <w:t>оказва</w:t>
      </w:r>
      <w:r w:rsidRPr="00DD4067">
        <w:rPr>
          <w:rFonts w:ascii="Times New Roman" w:hAnsi="Times New Roman" w:cs="Times New Roman"/>
          <w:sz w:val="24"/>
          <w:szCs w:val="24"/>
        </w:rPr>
        <w:t xml:space="preserve"> отрицателно въздействие върху </w:t>
      </w:r>
      <w:r w:rsidR="00A20F88">
        <w:rPr>
          <w:rFonts w:ascii="Times New Roman" w:hAnsi="Times New Roman" w:cs="Times New Roman"/>
          <w:sz w:val="24"/>
          <w:szCs w:val="24"/>
        </w:rPr>
        <w:t xml:space="preserve">цялостната </w:t>
      </w:r>
      <w:r w:rsidRPr="00DD4067">
        <w:rPr>
          <w:rFonts w:ascii="Times New Roman" w:hAnsi="Times New Roman" w:cs="Times New Roman"/>
          <w:sz w:val="24"/>
          <w:szCs w:val="24"/>
        </w:rPr>
        <w:t>конкурентоспособност на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Европа.</w:t>
      </w:r>
    </w:p>
    <w:p w:rsidR="00DD4067" w:rsidRPr="00DD4067" w:rsidRDefault="00DD4067" w:rsidP="00F0622D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067">
        <w:rPr>
          <w:rFonts w:ascii="Times New Roman" w:hAnsi="Times New Roman" w:cs="Times New Roman"/>
          <w:sz w:val="24"/>
          <w:szCs w:val="24"/>
        </w:rPr>
        <w:t>Това значително намалява инвестиционния потенциал и ограничава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притока на капитали към малките и средните пр</w:t>
      </w:r>
      <w:r w:rsidR="002C3CF9">
        <w:rPr>
          <w:rFonts w:ascii="Times New Roman" w:hAnsi="Times New Roman" w:cs="Times New Roman"/>
          <w:sz w:val="24"/>
          <w:szCs w:val="24"/>
        </w:rPr>
        <w:t xml:space="preserve">едприятия, особено новаторските, което ги </w:t>
      </w:r>
      <w:r w:rsidR="00A20F88">
        <w:rPr>
          <w:rFonts w:ascii="Times New Roman" w:hAnsi="Times New Roman" w:cs="Times New Roman"/>
          <w:sz w:val="24"/>
          <w:szCs w:val="24"/>
        </w:rPr>
        <w:t xml:space="preserve">поставя в зависимост </w:t>
      </w:r>
      <w:r w:rsidRPr="00DD4067">
        <w:rPr>
          <w:rFonts w:ascii="Times New Roman" w:hAnsi="Times New Roman" w:cs="Times New Roman"/>
          <w:sz w:val="24"/>
          <w:szCs w:val="24"/>
        </w:rPr>
        <w:t>от банковия сектор. Тази ситуация е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 xml:space="preserve">още по-трудна </w:t>
      </w:r>
      <w:r w:rsidR="002C3CF9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предвид факта, че в светлината на новото регулиране,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продиктувано от съображения за благоразумие, банките са значително по-малко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склонни да финансират предприятията, които са в начален стадий на развитието си,</w:t>
      </w:r>
      <w:r w:rsidR="002A2741">
        <w:rPr>
          <w:rFonts w:ascii="Times New Roman" w:hAnsi="Times New Roman" w:cs="Times New Roman"/>
          <w:sz w:val="24"/>
          <w:szCs w:val="24"/>
        </w:rPr>
        <w:t xml:space="preserve"> </w:t>
      </w:r>
      <w:r w:rsidRPr="00DD4067">
        <w:rPr>
          <w:rFonts w:ascii="Times New Roman" w:hAnsi="Times New Roman" w:cs="Times New Roman"/>
          <w:sz w:val="24"/>
          <w:szCs w:val="24"/>
        </w:rPr>
        <w:t>дори новаторските.</w:t>
      </w:r>
    </w:p>
    <w:p w:rsidR="00DD4067" w:rsidRPr="00DD4067" w:rsidRDefault="00DD4067" w:rsidP="00F062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067" w:rsidRDefault="00611BCE" w:rsidP="00DD4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754682" w:rsidRPr="00651194" w:rsidRDefault="00754682" w:rsidP="00637F07">
      <w:pPr>
        <w:pStyle w:val="ListParagraph"/>
        <w:numPr>
          <w:ilvl w:val="0"/>
          <w:numId w:val="2"/>
        </w:numPr>
        <w:ind w:left="714" w:hanging="357"/>
        <w:contextualSpacing/>
        <w:rPr>
          <w:lang w:val="en-US" w:eastAsia="bg-BG"/>
        </w:rPr>
      </w:pPr>
      <w:proofErr w:type="spellStart"/>
      <w:r w:rsidRPr="00651194">
        <w:rPr>
          <w:lang w:eastAsia="bg-BG"/>
        </w:rPr>
        <w:t>Berkery</w:t>
      </w:r>
      <w:proofErr w:type="spellEnd"/>
      <w:r w:rsidRPr="00651194">
        <w:rPr>
          <w:lang w:eastAsia="bg-BG"/>
        </w:rPr>
        <w:t>, D. Raising Venture Capital for the Serious Entrepreneur, 2008</w:t>
      </w:r>
    </w:p>
    <w:p w:rsidR="00754682" w:rsidRPr="00651194" w:rsidRDefault="00754682" w:rsidP="00637F07">
      <w:pPr>
        <w:pStyle w:val="ListParagraph"/>
        <w:numPr>
          <w:ilvl w:val="0"/>
          <w:numId w:val="2"/>
        </w:numPr>
        <w:ind w:left="714" w:hanging="357"/>
        <w:contextualSpacing/>
        <w:rPr>
          <w:lang w:val="en-US"/>
        </w:rPr>
      </w:pPr>
      <w:r w:rsidRPr="00651194">
        <w:rPr>
          <w:lang w:eastAsia="bg-BG"/>
        </w:rPr>
        <w:lastRenderedPageBreak/>
        <w:t>Adapting and evolving. Global venture capital insights and trends 2014, Ernst &amp; Young,</w:t>
      </w:r>
      <w:hyperlink r:id="rId11" w:history="1">
        <w:r w:rsidRPr="00651194">
          <w:rPr>
            <w:rStyle w:val="Hyperlink"/>
          </w:rPr>
          <w:t>http://www.ey.com/Publication/vwLUAssets/Global_venture_capital_insights_and_trends_2014/$FILE/EY_Global_VC_insights_and_trends_report_2014.pdf</w:t>
        </w:r>
      </w:hyperlink>
      <w:r w:rsidRPr="00651194">
        <w:rPr>
          <w:rStyle w:val="Emphasis"/>
          <w:i w:val="0"/>
          <w:lang w:val="en-US"/>
        </w:rPr>
        <w:t xml:space="preserve"> </w:t>
      </w:r>
    </w:p>
    <w:p w:rsidR="00754682" w:rsidRPr="00651194" w:rsidRDefault="00754682" w:rsidP="00637F07">
      <w:pPr>
        <w:pStyle w:val="Heading2"/>
        <w:numPr>
          <w:ilvl w:val="0"/>
          <w:numId w:val="2"/>
        </w:numPr>
        <w:spacing w:before="0" w:beforeAutospacing="0" w:after="0" w:afterAutospacing="0"/>
        <w:ind w:left="714" w:hanging="357"/>
        <w:rPr>
          <w:b w:val="0"/>
          <w:sz w:val="24"/>
          <w:szCs w:val="24"/>
        </w:rPr>
      </w:pPr>
      <w:r w:rsidRPr="00651194">
        <w:rPr>
          <w:b w:val="0"/>
          <w:sz w:val="24"/>
          <w:szCs w:val="24"/>
          <w:lang w:val="en-US"/>
        </w:rPr>
        <w:t xml:space="preserve">EVCA, </w:t>
      </w:r>
      <w:proofErr w:type="spellStart"/>
      <w:r w:rsidRPr="00651194">
        <w:rPr>
          <w:b w:val="0"/>
          <w:sz w:val="24"/>
          <w:szCs w:val="24"/>
        </w:rPr>
        <w:t>European</w:t>
      </w:r>
      <w:proofErr w:type="spellEnd"/>
      <w:r w:rsidRPr="00651194">
        <w:rPr>
          <w:b w:val="0"/>
          <w:sz w:val="24"/>
          <w:szCs w:val="24"/>
        </w:rPr>
        <w:t xml:space="preserve"> </w:t>
      </w:r>
      <w:proofErr w:type="spellStart"/>
      <w:r w:rsidRPr="00651194">
        <w:rPr>
          <w:b w:val="0"/>
          <w:sz w:val="24"/>
          <w:szCs w:val="24"/>
        </w:rPr>
        <w:t>Private</w:t>
      </w:r>
      <w:proofErr w:type="spellEnd"/>
      <w:r w:rsidRPr="00651194">
        <w:rPr>
          <w:b w:val="0"/>
          <w:sz w:val="24"/>
          <w:szCs w:val="24"/>
        </w:rPr>
        <w:t xml:space="preserve"> Equity </w:t>
      </w:r>
      <w:proofErr w:type="spellStart"/>
      <w:r w:rsidRPr="00651194">
        <w:rPr>
          <w:b w:val="0"/>
          <w:sz w:val="24"/>
          <w:szCs w:val="24"/>
        </w:rPr>
        <w:t>Activity</w:t>
      </w:r>
      <w:proofErr w:type="spellEnd"/>
      <w:r w:rsidRPr="00651194">
        <w:rPr>
          <w:b w:val="0"/>
          <w:sz w:val="24"/>
          <w:szCs w:val="24"/>
        </w:rPr>
        <w:t xml:space="preserve"> Data 2007-2014, </w:t>
      </w:r>
      <w:hyperlink r:id="rId12" w:anchor="i" w:history="1">
        <w:r w:rsidRPr="00651194">
          <w:rPr>
            <w:rStyle w:val="Hyperlink"/>
            <w:b w:val="0"/>
            <w:sz w:val="24"/>
            <w:szCs w:val="24"/>
          </w:rPr>
          <w:t>http://www.evca.eu/news-opinion/publications/#i</w:t>
        </w:r>
      </w:hyperlink>
      <w:r w:rsidRPr="00651194">
        <w:rPr>
          <w:b w:val="0"/>
          <w:sz w:val="24"/>
          <w:szCs w:val="24"/>
        </w:rPr>
        <w:t xml:space="preserve"> </w:t>
      </w:r>
    </w:p>
    <w:p w:rsidR="00754682" w:rsidRPr="00651194" w:rsidRDefault="00754682" w:rsidP="00637F07">
      <w:pPr>
        <w:pStyle w:val="ListParagraph"/>
        <w:numPr>
          <w:ilvl w:val="0"/>
          <w:numId w:val="2"/>
        </w:numPr>
        <w:ind w:left="714" w:hanging="357"/>
        <w:contextualSpacing/>
        <w:rPr>
          <w:rStyle w:val="Hyperlink"/>
          <w:lang w:val="en-US"/>
        </w:rPr>
      </w:pPr>
      <w:r w:rsidRPr="00651194">
        <w:rPr>
          <w:lang w:val="en-US"/>
        </w:rPr>
        <w:t>European Economic and Social Committee, European venture capital funds, 2012</w:t>
      </w:r>
      <w:r w:rsidRPr="00651194">
        <w:t xml:space="preserve"> </w:t>
      </w:r>
      <w:r w:rsidRPr="00651194">
        <w:rPr>
          <w:lang w:val="en-US"/>
        </w:rPr>
        <w:t xml:space="preserve"> </w:t>
      </w:r>
      <w:hyperlink r:id="rId13" w:history="1">
        <w:r w:rsidRPr="00651194">
          <w:rPr>
            <w:rStyle w:val="Hyperlink"/>
            <w:lang w:val="en-US"/>
          </w:rPr>
          <w:t>http://www.europarl.europa.eu/RegData/courrier_officiel/arrivee/2012/EP-PE_LTA%282012%29006002_XL.pdf</w:t>
        </w:r>
      </w:hyperlink>
    </w:p>
    <w:sectPr w:rsidR="00754682" w:rsidRPr="006511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C3" w:rsidRDefault="004F69C3" w:rsidP="00642C05">
      <w:pPr>
        <w:spacing w:after="0" w:line="240" w:lineRule="auto"/>
      </w:pPr>
      <w:r>
        <w:separator/>
      </w:r>
    </w:p>
  </w:endnote>
  <w:endnote w:type="continuationSeparator" w:id="0">
    <w:p w:rsidR="004F69C3" w:rsidRDefault="004F69C3" w:rsidP="0064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41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A3F" w:rsidRDefault="00BF6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A3F" w:rsidRDefault="00BF6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376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A3F" w:rsidRDefault="00BF6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6A3F" w:rsidRDefault="00BF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C3" w:rsidRDefault="004F69C3" w:rsidP="00642C05">
      <w:pPr>
        <w:spacing w:after="0" w:line="240" w:lineRule="auto"/>
      </w:pPr>
      <w:r>
        <w:separator/>
      </w:r>
    </w:p>
  </w:footnote>
  <w:footnote w:type="continuationSeparator" w:id="0">
    <w:p w:rsidR="004F69C3" w:rsidRDefault="004F69C3" w:rsidP="00642C05">
      <w:pPr>
        <w:spacing w:after="0" w:line="240" w:lineRule="auto"/>
      </w:pPr>
      <w:r>
        <w:continuationSeparator/>
      </w:r>
    </w:p>
  </w:footnote>
  <w:footnote w:id="1">
    <w:p w:rsidR="00BF6A3F" w:rsidRPr="00A4685F" w:rsidRDefault="00BF6A3F" w:rsidP="00A4685F">
      <w:pPr>
        <w:spacing w:before="100" w:beforeAutospacing="1" w:after="100" w:afterAutospacing="1"/>
        <w:rPr>
          <w:rFonts w:ascii="Times New Roman" w:hAnsi="Times New Roman" w:cs="Times New Roman"/>
          <w:lang w:val="en-US" w:eastAsia="bg-BG"/>
        </w:rPr>
      </w:pPr>
      <w:r w:rsidRPr="00A4685F">
        <w:rPr>
          <w:rStyle w:val="FootnoteReference"/>
          <w:rFonts w:ascii="Times New Roman" w:hAnsi="Times New Roman" w:cs="Times New Roman"/>
        </w:rPr>
        <w:footnoteRef/>
      </w:r>
      <w:r w:rsidRPr="00A4685F">
        <w:rPr>
          <w:rFonts w:ascii="Times New Roman" w:hAnsi="Times New Roman" w:cs="Times New Roman"/>
        </w:rPr>
        <w:t xml:space="preserve"> </w:t>
      </w:r>
      <w:proofErr w:type="spellStart"/>
      <w:r w:rsidRPr="00A4685F">
        <w:rPr>
          <w:rFonts w:ascii="Times New Roman" w:hAnsi="Times New Roman" w:cs="Times New Roman"/>
          <w:lang w:eastAsia="bg-BG"/>
        </w:rPr>
        <w:t>Berkery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, D. </w:t>
      </w:r>
      <w:proofErr w:type="spellStart"/>
      <w:r w:rsidRPr="00A4685F">
        <w:rPr>
          <w:rFonts w:ascii="Times New Roman" w:hAnsi="Times New Roman" w:cs="Times New Roman"/>
          <w:lang w:eastAsia="bg-BG"/>
        </w:rPr>
        <w:t>Raising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A4685F">
        <w:rPr>
          <w:rFonts w:ascii="Times New Roman" w:hAnsi="Times New Roman" w:cs="Times New Roman"/>
          <w:lang w:eastAsia="bg-BG"/>
        </w:rPr>
        <w:t>Venture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 Capital </w:t>
      </w:r>
      <w:proofErr w:type="spellStart"/>
      <w:r w:rsidRPr="00A4685F">
        <w:rPr>
          <w:rFonts w:ascii="Times New Roman" w:hAnsi="Times New Roman" w:cs="Times New Roman"/>
          <w:lang w:eastAsia="bg-BG"/>
        </w:rPr>
        <w:t>for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A4685F">
        <w:rPr>
          <w:rFonts w:ascii="Times New Roman" w:hAnsi="Times New Roman" w:cs="Times New Roman"/>
          <w:lang w:eastAsia="bg-BG"/>
        </w:rPr>
        <w:t>the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A4685F">
        <w:rPr>
          <w:rFonts w:ascii="Times New Roman" w:hAnsi="Times New Roman" w:cs="Times New Roman"/>
          <w:lang w:eastAsia="bg-BG"/>
        </w:rPr>
        <w:t>Serious</w:t>
      </w:r>
      <w:proofErr w:type="spellEnd"/>
      <w:r w:rsidRPr="00A4685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A4685F">
        <w:rPr>
          <w:rFonts w:ascii="Times New Roman" w:hAnsi="Times New Roman" w:cs="Times New Roman"/>
          <w:lang w:eastAsia="bg-BG"/>
        </w:rPr>
        <w:t>Entrepreneur</w:t>
      </w:r>
      <w:proofErr w:type="spellEnd"/>
      <w:r w:rsidRPr="00A4685F">
        <w:rPr>
          <w:rFonts w:ascii="Times New Roman" w:hAnsi="Times New Roman" w:cs="Times New Roman"/>
          <w:lang w:eastAsia="bg-BG"/>
        </w:rPr>
        <w:t>, 2008</w:t>
      </w:r>
      <w:r w:rsidRPr="00A4685F">
        <w:rPr>
          <w:rFonts w:ascii="Times New Roman" w:hAnsi="Times New Roman" w:cs="Times New Roman"/>
          <w:lang w:val="en-US" w:eastAsia="bg-BG"/>
        </w:rPr>
        <w:t>, p.97</w:t>
      </w:r>
    </w:p>
    <w:p w:rsidR="00BF6A3F" w:rsidRPr="00A4685F" w:rsidRDefault="00BF6A3F">
      <w:pPr>
        <w:pStyle w:val="FootnoteText"/>
        <w:rPr>
          <w:lang w:val="en-US"/>
        </w:rPr>
      </w:pPr>
    </w:p>
  </w:footnote>
  <w:footnote w:id="2">
    <w:p w:rsidR="00BF6A3F" w:rsidRDefault="00BF6A3F" w:rsidP="006469BE">
      <w:pPr>
        <w:pStyle w:val="Heading2"/>
      </w:pPr>
      <w:r w:rsidRPr="00F453C8">
        <w:rPr>
          <w:rStyle w:val="FootnoteReference"/>
          <w:sz w:val="22"/>
          <w:szCs w:val="22"/>
        </w:rPr>
        <w:footnoteRef/>
      </w:r>
      <w:r w:rsidRPr="00F453C8">
        <w:rPr>
          <w:sz w:val="22"/>
          <w:szCs w:val="22"/>
        </w:rPr>
        <w:t xml:space="preserve"> </w:t>
      </w:r>
      <w:r w:rsidRPr="006469BE">
        <w:rPr>
          <w:b w:val="0"/>
          <w:sz w:val="22"/>
          <w:szCs w:val="22"/>
        </w:rPr>
        <w:t>По данни на Европейската асоциация за рисков капитал</w:t>
      </w:r>
      <w:r>
        <w:rPr>
          <w:b w:val="0"/>
          <w:sz w:val="22"/>
          <w:szCs w:val="22"/>
        </w:rPr>
        <w:t xml:space="preserve">. </w:t>
      </w:r>
      <w:proofErr w:type="spellStart"/>
      <w:r w:rsidRPr="006469BE">
        <w:rPr>
          <w:b w:val="0"/>
          <w:sz w:val="22"/>
          <w:szCs w:val="22"/>
        </w:rPr>
        <w:t>European</w:t>
      </w:r>
      <w:proofErr w:type="spellEnd"/>
      <w:r w:rsidRPr="006469BE">
        <w:rPr>
          <w:b w:val="0"/>
          <w:sz w:val="22"/>
          <w:szCs w:val="22"/>
        </w:rPr>
        <w:t xml:space="preserve"> </w:t>
      </w:r>
      <w:proofErr w:type="spellStart"/>
      <w:r w:rsidRPr="006469BE">
        <w:rPr>
          <w:b w:val="0"/>
          <w:sz w:val="22"/>
          <w:szCs w:val="22"/>
        </w:rPr>
        <w:t>Private</w:t>
      </w:r>
      <w:proofErr w:type="spellEnd"/>
      <w:r w:rsidRPr="006469BE">
        <w:rPr>
          <w:b w:val="0"/>
          <w:sz w:val="22"/>
          <w:szCs w:val="22"/>
        </w:rPr>
        <w:t xml:space="preserve"> Equity </w:t>
      </w:r>
      <w:proofErr w:type="spellStart"/>
      <w:r w:rsidRPr="006469BE">
        <w:rPr>
          <w:b w:val="0"/>
          <w:sz w:val="22"/>
          <w:szCs w:val="22"/>
        </w:rPr>
        <w:t>Activity</w:t>
      </w:r>
      <w:proofErr w:type="spellEnd"/>
      <w:r w:rsidRPr="006469BE">
        <w:rPr>
          <w:b w:val="0"/>
          <w:sz w:val="22"/>
          <w:szCs w:val="22"/>
        </w:rPr>
        <w:t xml:space="preserve"> Data 2007-2014</w:t>
      </w:r>
      <w:r>
        <w:rPr>
          <w:b w:val="0"/>
          <w:sz w:val="22"/>
          <w:szCs w:val="22"/>
        </w:rPr>
        <w:t xml:space="preserve">, </w:t>
      </w:r>
      <w:hyperlink r:id="rId1" w:anchor="i" w:history="1">
        <w:r w:rsidRPr="005D3207">
          <w:rPr>
            <w:rStyle w:val="Hyperlink"/>
            <w:b w:val="0"/>
            <w:sz w:val="22"/>
            <w:szCs w:val="22"/>
          </w:rPr>
          <w:t>http://www.evca.eu/news-opinion/publications/#i</w:t>
        </w:r>
      </w:hyperlink>
      <w:r>
        <w:rPr>
          <w:b w:val="0"/>
          <w:sz w:val="22"/>
          <w:szCs w:val="22"/>
        </w:rPr>
        <w:t xml:space="preserve"> </w:t>
      </w:r>
    </w:p>
    <w:p w:rsidR="00BF6A3F" w:rsidRPr="006469BE" w:rsidRDefault="00BF6A3F">
      <w:pPr>
        <w:pStyle w:val="FootnoteText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3">
    <w:p w:rsidR="00BF6A3F" w:rsidRPr="00BF6A3F" w:rsidRDefault="00BF6A3F" w:rsidP="00BF6A3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BF6A3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F6A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Adapting</w:t>
      </w:r>
      <w:proofErr w:type="spellEnd"/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6A3F">
        <w:rPr>
          <w:rStyle w:val="st"/>
          <w:rFonts w:ascii="Times New Roman" w:hAnsi="Times New Roman" w:cs="Times New Roman"/>
          <w:sz w:val="22"/>
          <w:szCs w:val="22"/>
        </w:rPr>
        <w:t>and</w:t>
      </w:r>
      <w:proofErr w:type="spellEnd"/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evolving</w:t>
      </w:r>
      <w:proofErr w:type="spellEnd"/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Global</w:t>
      </w:r>
      <w:proofErr w:type="spellEnd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venture</w:t>
      </w:r>
      <w:proofErr w:type="spellEnd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capital</w:t>
      </w:r>
      <w:proofErr w:type="spellEnd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insights</w:t>
      </w:r>
      <w:proofErr w:type="spellEnd"/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6A3F">
        <w:rPr>
          <w:rStyle w:val="st"/>
          <w:rFonts w:ascii="Times New Roman" w:hAnsi="Times New Roman" w:cs="Times New Roman"/>
          <w:sz w:val="22"/>
          <w:szCs w:val="22"/>
        </w:rPr>
        <w:t>and</w:t>
      </w:r>
      <w:proofErr w:type="spellEnd"/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>trends</w:t>
      </w:r>
      <w:proofErr w:type="spellEnd"/>
      <w:r w:rsidRPr="00BF6A3F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2014, </w:t>
      </w:r>
      <w:r w:rsidRPr="00BF6A3F">
        <w:rPr>
          <w:rStyle w:val="st"/>
          <w:rFonts w:ascii="Times New Roman" w:hAnsi="Times New Roman" w:cs="Times New Roman"/>
          <w:sz w:val="22"/>
          <w:szCs w:val="22"/>
        </w:rPr>
        <w:t>Ernst &amp; Young, р.22</w:t>
      </w:r>
      <w:r w:rsidRPr="00BF6A3F">
        <w:rPr>
          <w:rStyle w:val="st"/>
          <w:rFonts w:ascii="Times New Roman" w:hAnsi="Times New Roman" w:cs="Times New Roman"/>
          <w:i/>
          <w:sz w:val="22"/>
          <w:szCs w:val="22"/>
        </w:rPr>
        <w:t>,</w:t>
      </w:r>
      <w:r>
        <w:rPr>
          <w:rStyle w:val="st"/>
          <w:rFonts w:ascii="Times New Roman" w:hAnsi="Times New Roman" w:cs="Times New Roman"/>
          <w:i/>
          <w:sz w:val="22"/>
          <w:szCs w:val="22"/>
        </w:rPr>
        <w:t xml:space="preserve"> </w:t>
      </w:r>
      <w:hyperlink r:id="rId2" w:history="1">
        <w:r w:rsidRPr="009C51EA">
          <w:rPr>
            <w:rStyle w:val="Hyperlink"/>
            <w:rFonts w:ascii="Times New Roman" w:hAnsi="Times New Roman" w:cs="Times New Roman"/>
            <w:sz w:val="22"/>
            <w:szCs w:val="22"/>
          </w:rPr>
          <w:t>http://www.ey.com/Publication/vwLUAssets/Global_venture_capital_insights_and_trends_2014/$FILE/EY_Global_VC_insights_and_trends_report_2014.pdf</w:t>
        </w:r>
      </w:hyperlink>
      <w:r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 </w:t>
      </w:r>
    </w:p>
  </w:footnote>
  <w:footnote w:id="4">
    <w:p w:rsidR="00BF6A3F" w:rsidRPr="00D04E4C" w:rsidRDefault="00BF6A3F" w:rsidP="00BF6A3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F6A3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F6A3F">
        <w:rPr>
          <w:rFonts w:ascii="Times New Roman" w:hAnsi="Times New Roman" w:cs="Times New Roman"/>
          <w:sz w:val="22"/>
          <w:szCs w:val="22"/>
        </w:rPr>
        <w:t xml:space="preserve"> </w:t>
      </w:r>
      <w:r w:rsidRPr="00BF6A3F">
        <w:rPr>
          <w:rFonts w:ascii="Times New Roman" w:hAnsi="Times New Roman" w:cs="Times New Roman"/>
          <w:sz w:val="22"/>
          <w:szCs w:val="22"/>
          <w:lang w:val="en-US"/>
        </w:rPr>
        <w:t xml:space="preserve">European venture capital funds, European Economic and Social Committee, 2012, p. 4, </w:t>
      </w:r>
      <w:hyperlink r:id="rId3" w:history="1">
        <w:r w:rsidRPr="00BF6A3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http://www.europarl.europa.eu/RegData/courrier_officiel/arrivee/2012/EP-PE_LTA%282012%29006002_XL.pdf</w:t>
        </w:r>
      </w:hyperlink>
      <w:r w:rsidRPr="00D04E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4DB1"/>
    <w:multiLevelType w:val="hybridMultilevel"/>
    <w:tmpl w:val="AD9CB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1E38"/>
    <w:multiLevelType w:val="hybridMultilevel"/>
    <w:tmpl w:val="F44EE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7"/>
    <w:rsid w:val="000031D4"/>
    <w:rsid w:val="00024D16"/>
    <w:rsid w:val="00083C34"/>
    <w:rsid w:val="00095CC8"/>
    <w:rsid w:val="000A7159"/>
    <w:rsid w:val="000B0C3F"/>
    <w:rsid w:val="001468C5"/>
    <w:rsid w:val="001A03EE"/>
    <w:rsid w:val="001C5FA7"/>
    <w:rsid w:val="00237D3A"/>
    <w:rsid w:val="002611E6"/>
    <w:rsid w:val="00292E5B"/>
    <w:rsid w:val="002A2741"/>
    <w:rsid w:val="002B2744"/>
    <w:rsid w:val="002C3CF9"/>
    <w:rsid w:val="002C4F87"/>
    <w:rsid w:val="002D1CF8"/>
    <w:rsid w:val="002D6310"/>
    <w:rsid w:val="002E5D69"/>
    <w:rsid w:val="00320432"/>
    <w:rsid w:val="00322762"/>
    <w:rsid w:val="00334E55"/>
    <w:rsid w:val="003673CF"/>
    <w:rsid w:val="00381DC0"/>
    <w:rsid w:val="00382076"/>
    <w:rsid w:val="00394E6A"/>
    <w:rsid w:val="003B3700"/>
    <w:rsid w:val="003B7444"/>
    <w:rsid w:val="0041049D"/>
    <w:rsid w:val="00442B3D"/>
    <w:rsid w:val="00446A0F"/>
    <w:rsid w:val="00453B5E"/>
    <w:rsid w:val="00462442"/>
    <w:rsid w:val="00463C36"/>
    <w:rsid w:val="00487196"/>
    <w:rsid w:val="004A109D"/>
    <w:rsid w:val="004B305C"/>
    <w:rsid w:val="004B62BD"/>
    <w:rsid w:val="004B7194"/>
    <w:rsid w:val="004D2E2F"/>
    <w:rsid w:val="004F69C3"/>
    <w:rsid w:val="0053550E"/>
    <w:rsid w:val="00562051"/>
    <w:rsid w:val="00586C8A"/>
    <w:rsid w:val="006109D8"/>
    <w:rsid w:val="0061194D"/>
    <w:rsid w:val="00611BCE"/>
    <w:rsid w:val="00637F07"/>
    <w:rsid w:val="00642C05"/>
    <w:rsid w:val="006469BE"/>
    <w:rsid w:val="00687A5D"/>
    <w:rsid w:val="006E6C33"/>
    <w:rsid w:val="00703C5A"/>
    <w:rsid w:val="00754682"/>
    <w:rsid w:val="007655C9"/>
    <w:rsid w:val="007B4169"/>
    <w:rsid w:val="007E5175"/>
    <w:rsid w:val="0087128A"/>
    <w:rsid w:val="008723D4"/>
    <w:rsid w:val="00875122"/>
    <w:rsid w:val="008C0D97"/>
    <w:rsid w:val="008E035F"/>
    <w:rsid w:val="0092675A"/>
    <w:rsid w:val="00952B86"/>
    <w:rsid w:val="00972E50"/>
    <w:rsid w:val="009B42D0"/>
    <w:rsid w:val="00A07977"/>
    <w:rsid w:val="00A12EC7"/>
    <w:rsid w:val="00A20F88"/>
    <w:rsid w:val="00A271FD"/>
    <w:rsid w:val="00A4685F"/>
    <w:rsid w:val="00A619B4"/>
    <w:rsid w:val="00A67FF8"/>
    <w:rsid w:val="00AC695B"/>
    <w:rsid w:val="00AE368C"/>
    <w:rsid w:val="00AF2B75"/>
    <w:rsid w:val="00B13D4D"/>
    <w:rsid w:val="00B43B87"/>
    <w:rsid w:val="00BA1FB5"/>
    <w:rsid w:val="00BA31CA"/>
    <w:rsid w:val="00BA560B"/>
    <w:rsid w:val="00BF6A3F"/>
    <w:rsid w:val="00C36B72"/>
    <w:rsid w:val="00C73619"/>
    <w:rsid w:val="00C76487"/>
    <w:rsid w:val="00CC0E90"/>
    <w:rsid w:val="00CF12F4"/>
    <w:rsid w:val="00D01A0C"/>
    <w:rsid w:val="00D04E4C"/>
    <w:rsid w:val="00D232E4"/>
    <w:rsid w:val="00D7202C"/>
    <w:rsid w:val="00DD4067"/>
    <w:rsid w:val="00E3311A"/>
    <w:rsid w:val="00E45EF4"/>
    <w:rsid w:val="00E846A3"/>
    <w:rsid w:val="00E92CFD"/>
    <w:rsid w:val="00E94118"/>
    <w:rsid w:val="00EE401B"/>
    <w:rsid w:val="00F0622D"/>
    <w:rsid w:val="00F2747F"/>
    <w:rsid w:val="00F453C8"/>
    <w:rsid w:val="00F55F6C"/>
    <w:rsid w:val="00F715F8"/>
    <w:rsid w:val="00F85EB0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43C0-076F-49B3-80DB-B1E75A4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2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C05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586C8A"/>
  </w:style>
  <w:style w:type="paragraph" w:styleId="Header">
    <w:name w:val="header"/>
    <w:basedOn w:val="Normal"/>
    <w:link w:val="HeaderChar"/>
    <w:uiPriority w:val="99"/>
    <w:unhideWhenUsed/>
    <w:rsid w:val="0041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9D"/>
  </w:style>
  <w:style w:type="paragraph" w:styleId="Footer">
    <w:name w:val="footer"/>
    <w:basedOn w:val="Normal"/>
    <w:link w:val="FooterChar"/>
    <w:uiPriority w:val="99"/>
    <w:unhideWhenUsed/>
    <w:rsid w:val="0041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2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2CF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468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11BCE"/>
  </w:style>
  <w:style w:type="character" w:styleId="Emphasis">
    <w:name w:val="Emphasis"/>
    <w:basedOn w:val="DefaultParagraphFont"/>
    <w:uiPriority w:val="20"/>
    <w:qFormat/>
    <w:rsid w:val="00381D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E401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uroparl.europa.eu/RegData/courrier_officiel/arrivee/2012/EP-PE_LTA%282012%29006002_X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ca.eu/news-opinion/public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y.com/Publication/vwLUAssets/Global_venture_capital_insights_and_trends_2014/$FILE/EY_Global_VC_insights_and_trends_report_201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ca.eu/news-opinion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ca.eu/news-opinion/publications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rl.europa.eu/RegData/courrier_officiel/arrivee/2012/EP-PE_LTA%282012%29006002_XL.pdf" TargetMode="External"/><Relationship Id="rId2" Type="http://schemas.openxmlformats.org/officeDocument/2006/relationships/hyperlink" Target="http://www.ey.com/Publication/vwLUAssets/Global_venture_capital_insights_and_trends_2014/$FILE/EY_Global_VC_insights_and_trends_report_2014.pdf" TargetMode="External"/><Relationship Id="rId1" Type="http://schemas.openxmlformats.org/officeDocument/2006/relationships/hyperlink" Target="http://www.evca.eu/news-opinion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7499-7C37-4467-8FC4-0AC147EC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Dimitrova</dc:creator>
  <cp:keywords/>
  <dc:description/>
  <cp:lastModifiedBy>Ra Dimitrova</cp:lastModifiedBy>
  <cp:revision>6</cp:revision>
  <dcterms:created xsi:type="dcterms:W3CDTF">2016-09-23T07:48:00Z</dcterms:created>
  <dcterms:modified xsi:type="dcterms:W3CDTF">2016-09-23T10:08:00Z</dcterms:modified>
</cp:coreProperties>
</file>