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6A" w:rsidRDefault="00C4356A" w:rsidP="00C96BFA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</w:p>
    <w:p w:rsidR="00A36919" w:rsidRPr="00C4356A" w:rsidRDefault="00FA58F4" w:rsidP="00C96BFA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Стратегически насоки за развитие </w:t>
      </w:r>
      <w:r w:rsidR="005F3713">
        <w:rPr>
          <w:rFonts w:ascii="Times New Roman" w:hAnsi="Times New Roman" w:cs="Times New Roman"/>
          <w:b/>
          <w:sz w:val="28"/>
          <w:szCs w:val="28"/>
          <w:lang w:val="bg-BG"/>
        </w:rPr>
        <w:t xml:space="preserve">на обучението </w:t>
      </w:r>
      <w:r w:rsidR="005927B0">
        <w:rPr>
          <w:rFonts w:ascii="Times New Roman" w:hAnsi="Times New Roman" w:cs="Times New Roman"/>
          <w:b/>
          <w:sz w:val="28"/>
          <w:szCs w:val="28"/>
          <w:lang w:val="bg-BG"/>
        </w:rPr>
        <w:t xml:space="preserve">по икономика </w:t>
      </w:r>
      <w:r w:rsidR="005F3713">
        <w:rPr>
          <w:rFonts w:ascii="Times New Roman" w:hAnsi="Times New Roman" w:cs="Times New Roman"/>
          <w:b/>
          <w:sz w:val="28"/>
          <w:szCs w:val="28"/>
          <w:lang w:val="bg-BG"/>
        </w:rPr>
        <w:t xml:space="preserve">в </w:t>
      </w:r>
      <w:r w:rsidR="005927B0">
        <w:rPr>
          <w:rFonts w:ascii="Times New Roman" w:hAnsi="Times New Roman" w:cs="Times New Roman"/>
          <w:b/>
          <w:sz w:val="28"/>
          <w:szCs w:val="28"/>
          <w:lang w:val="bg-BG"/>
        </w:rPr>
        <w:t>българските университети (</w:t>
      </w:r>
      <w:r w:rsidR="00E4777A">
        <w:rPr>
          <w:rFonts w:ascii="Times New Roman" w:hAnsi="Times New Roman" w:cs="Times New Roman"/>
          <w:b/>
          <w:sz w:val="28"/>
          <w:szCs w:val="28"/>
          <w:lang w:val="bg-BG"/>
        </w:rPr>
        <w:t xml:space="preserve">по </w:t>
      </w:r>
      <w:r w:rsidR="005927B0">
        <w:rPr>
          <w:rFonts w:ascii="Times New Roman" w:hAnsi="Times New Roman" w:cs="Times New Roman"/>
          <w:b/>
          <w:sz w:val="28"/>
          <w:szCs w:val="28"/>
          <w:lang w:val="bg-BG"/>
        </w:rPr>
        <w:t xml:space="preserve">примера на </w:t>
      </w:r>
      <w:r w:rsidR="00C4356A" w:rsidRPr="00C4356A">
        <w:rPr>
          <w:rFonts w:ascii="Times New Roman" w:hAnsi="Times New Roman" w:cs="Times New Roman"/>
          <w:b/>
          <w:sz w:val="28"/>
          <w:szCs w:val="28"/>
          <w:lang w:val="bg-BG"/>
        </w:rPr>
        <w:t>магистърска програма „Бизнес администрация“</w:t>
      </w:r>
      <w:r w:rsidR="005927B0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в НБУ)</w:t>
      </w:r>
    </w:p>
    <w:p w:rsidR="00C4356A" w:rsidRDefault="00E4777A" w:rsidP="00230B9A">
      <w:pPr>
        <w:spacing w:before="120"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Проф.</w:t>
      </w:r>
      <w:r w:rsidR="005927B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Стефан Филипов Стефанов</w:t>
      </w:r>
    </w:p>
    <w:p w:rsidR="005927B0" w:rsidRDefault="005927B0" w:rsidP="00230B9A">
      <w:pPr>
        <w:spacing w:before="120"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Strategic Issues of Education in Economics </w:t>
      </w:r>
      <w:r w:rsidR="00E4777A">
        <w:rPr>
          <w:rFonts w:ascii="Times New Roman" w:hAnsi="Times New Roman" w:cs="Times New Roman"/>
          <w:b/>
          <w:sz w:val="24"/>
          <w:szCs w:val="24"/>
        </w:rPr>
        <w:t xml:space="preserve">at </w:t>
      </w:r>
      <w:r>
        <w:rPr>
          <w:rFonts w:ascii="Times New Roman" w:hAnsi="Times New Roman" w:cs="Times New Roman"/>
          <w:b/>
          <w:sz w:val="24"/>
          <w:szCs w:val="24"/>
        </w:rPr>
        <w:t xml:space="preserve">Bulgarian Universities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(</w:t>
      </w:r>
      <w:r w:rsidR="00E4777A">
        <w:rPr>
          <w:rFonts w:ascii="Times New Roman" w:hAnsi="Times New Roman" w:cs="Times New Roman"/>
          <w:b/>
          <w:sz w:val="24"/>
          <w:szCs w:val="24"/>
        </w:rPr>
        <w:t xml:space="preserve">after the example of MBA education at NBU) </w:t>
      </w:r>
    </w:p>
    <w:p w:rsidR="005927B0" w:rsidRPr="005927B0" w:rsidRDefault="005927B0" w:rsidP="00230B9A">
      <w:pPr>
        <w:spacing w:before="120"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Prof</w:t>
      </w:r>
      <w:r w:rsidRPr="00E4777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Stefan</w:t>
      </w:r>
      <w:r w:rsidRPr="00E477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Filipov</w:t>
      </w:r>
      <w:proofErr w:type="spellEnd"/>
      <w:r w:rsidRPr="005927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Stefanov</w:t>
      </w:r>
      <w:proofErr w:type="spellEnd"/>
    </w:p>
    <w:p w:rsidR="005927B0" w:rsidRPr="00B72588" w:rsidRDefault="005927B0" w:rsidP="005927B0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i/>
          <w:sz w:val="20"/>
          <w:szCs w:val="20"/>
          <w:lang w:val="bg-BG"/>
        </w:rPr>
      </w:pPr>
      <w:r w:rsidRPr="00B72588">
        <w:rPr>
          <w:rFonts w:ascii="Times New Roman" w:hAnsi="Times New Roman" w:cs="Times New Roman"/>
          <w:b/>
          <w:i/>
          <w:sz w:val="20"/>
          <w:szCs w:val="20"/>
          <w:u w:val="single"/>
          <w:lang w:val="bg-BG"/>
        </w:rPr>
        <w:t>Резюме:</w:t>
      </w:r>
      <w:r w:rsidRPr="00B72588">
        <w:rPr>
          <w:rFonts w:ascii="Times New Roman" w:hAnsi="Times New Roman" w:cs="Times New Roman"/>
          <w:i/>
          <w:sz w:val="20"/>
          <w:szCs w:val="20"/>
          <w:lang w:val="bg-BG"/>
        </w:rPr>
        <w:t xml:space="preserve"> анализират се стратегическите насоки за </w:t>
      </w:r>
      <w:r>
        <w:rPr>
          <w:rFonts w:ascii="Times New Roman" w:hAnsi="Times New Roman" w:cs="Times New Roman"/>
          <w:i/>
          <w:sz w:val="20"/>
          <w:szCs w:val="20"/>
          <w:lang w:val="bg-BG"/>
        </w:rPr>
        <w:t xml:space="preserve">развитие на обучението </w:t>
      </w:r>
      <w:r w:rsidRPr="00B72588">
        <w:rPr>
          <w:rFonts w:ascii="Times New Roman" w:hAnsi="Times New Roman" w:cs="Times New Roman"/>
          <w:i/>
          <w:sz w:val="20"/>
          <w:szCs w:val="20"/>
          <w:lang w:val="bg-BG"/>
        </w:rPr>
        <w:t>в магистърска програма Бизнес администрация (МПБА), с цел изграждане на знания и умения за усъвършенстване на бизнеса и неговото управление, и за разработване на ефективни стратегии за адаптиране към динамично променящата се бизнес среда. Акцентира се върху областите, в които е необходимо да се преодоляват конкурентните недостатъци на българската икономика, идентифицирани в Доклада на Световния икономически форум за глобалната конкурентоспособност - 2013/2014 г.</w:t>
      </w:r>
    </w:p>
    <w:p w:rsidR="005927B0" w:rsidRPr="00C9015B" w:rsidRDefault="005927B0" w:rsidP="005927B0">
      <w:pPr>
        <w:spacing w:before="120"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  <w:lang w:val="bg-BG"/>
        </w:rPr>
      </w:pPr>
      <w:r w:rsidRPr="00C9015B">
        <w:rPr>
          <w:rFonts w:ascii="Times New Roman" w:hAnsi="Times New Roman" w:cs="Times New Roman"/>
          <w:b/>
          <w:i/>
          <w:sz w:val="20"/>
          <w:szCs w:val="20"/>
          <w:u w:val="single"/>
          <w:lang w:val="bg-BG"/>
        </w:rPr>
        <w:t>Ключови думи</w:t>
      </w:r>
      <w:r w:rsidRPr="00C9015B">
        <w:rPr>
          <w:rFonts w:ascii="Times New Roman" w:hAnsi="Times New Roman" w:cs="Times New Roman"/>
          <w:b/>
          <w:i/>
          <w:sz w:val="20"/>
          <w:szCs w:val="20"/>
          <w:lang w:val="bg-BG"/>
        </w:rPr>
        <w:t>:</w:t>
      </w:r>
      <w:r w:rsidRPr="00C9015B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Pr="00C9015B">
        <w:rPr>
          <w:rFonts w:ascii="Times New Roman" w:hAnsi="Times New Roman" w:cs="Times New Roman"/>
          <w:i/>
          <w:sz w:val="20"/>
          <w:szCs w:val="20"/>
          <w:lang w:val="bg-BG"/>
        </w:rPr>
        <w:t>усъвършенстване на бизнеса, бизнес среда, конкурентни недостатъци, крайно неолиберален макроикономически модел, балансиран макроикономически модел, прагматичен макроикономически модел.</w:t>
      </w:r>
    </w:p>
    <w:p w:rsidR="005927B0" w:rsidRPr="00E21FB4" w:rsidRDefault="005927B0" w:rsidP="005927B0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21FB4">
        <w:rPr>
          <w:rFonts w:ascii="Times New Roman" w:hAnsi="Times New Roman" w:cs="Times New Roman"/>
          <w:b/>
          <w:i/>
          <w:sz w:val="20"/>
          <w:szCs w:val="20"/>
          <w:u w:val="single"/>
        </w:rPr>
        <w:t>Abstract:</w:t>
      </w:r>
      <w:r w:rsidRPr="00E21FB4">
        <w:rPr>
          <w:rFonts w:ascii="Times New Roman" w:hAnsi="Times New Roman" w:cs="Times New Roman"/>
          <w:i/>
          <w:sz w:val="20"/>
          <w:szCs w:val="20"/>
        </w:rPr>
        <w:t xml:space="preserve"> strategic issues and challenges are considered for the improvement of MBA education in Bulgarian universities. The emphasis is put on two main issues: first, the probability of a </w:t>
      </w:r>
      <w:r>
        <w:rPr>
          <w:rFonts w:ascii="Times New Roman" w:hAnsi="Times New Roman" w:cs="Times New Roman"/>
          <w:i/>
          <w:sz w:val="20"/>
          <w:szCs w:val="20"/>
        </w:rPr>
        <w:t xml:space="preserve">forthcoming </w:t>
      </w:r>
      <w:r w:rsidRPr="00E21FB4">
        <w:rPr>
          <w:rFonts w:ascii="Times New Roman" w:hAnsi="Times New Roman" w:cs="Times New Roman"/>
          <w:i/>
          <w:sz w:val="20"/>
          <w:szCs w:val="20"/>
        </w:rPr>
        <w:t>fundamental change of the business environment in the country due to a change of the macroeconomic model applied; second, the need to surmount the specific competitive disadvantages of Bulgarian business practices as identified in the Global Competitiveness</w:t>
      </w:r>
      <w:r>
        <w:rPr>
          <w:rFonts w:ascii="Times New Roman" w:hAnsi="Times New Roman" w:cs="Times New Roman"/>
          <w:i/>
          <w:sz w:val="20"/>
          <w:szCs w:val="20"/>
        </w:rPr>
        <w:t xml:space="preserve"> R</w:t>
      </w:r>
      <w:r w:rsidRPr="00E21FB4">
        <w:rPr>
          <w:rFonts w:ascii="Times New Roman" w:hAnsi="Times New Roman" w:cs="Times New Roman"/>
          <w:i/>
          <w:sz w:val="20"/>
          <w:szCs w:val="20"/>
        </w:rPr>
        <w:t xml:space="preserve">eport </w:t>
      </w:r>
      <w:r>
        <w:rPr>
          <w:rFonts w:ascii="Times New Roman" w:hAnsi="Times New Roman" w:cs="Times New Roman"/>
          <w:i/>
          <w:sz w:val="20"/>
          <w:szCs w:val="20"/>
        </w:rPr>
        <w:t xml:space="preserve">(2013/2014) </w:t>
      </w:r>
      <w:r w:rsidRPr="00E21FB4">
        <w:rPr>
          <w:rFonts w:ascii="Times New Roman" w:hAnsi="Times New Roman" w:cs="Times New Roman"/>
          <w:i/>
          <w:sz w:val="20"/>
          <w:szCs w:val="20"/>
        </w:rPr>
        <w:t xml:space="preserve">of the World </w:t>
      </w:r>
      <w:r>
        <w:rPr>
          <w:rFonts w:ascii="Times New Roman" w:hAnsi="Times New Roman" w:cs="Times New Roman"/>
          <w:i/>
          <w:sz w:val="20"/>
          <w:szCs w:val="20"/>
        </w:rPr>
        <w:t>E</w:t>
      </w:r>
      <w:r w:rsidRPr="00E21FB4">
        <w:rPr>
          <w:rFonts w:ascii="Times New Roman" w:hAnsi="Times New Roman" w:cs="Times New Roman"/>
          <w:i/>
          <w:sz w:val="20"/>
          <w:szCs w:val="20"/>
        </w:rPr>
        <w:t xml:space="preserve">conomic </w:t>
      </w:r>
      <w:r>
        <w:rPr>
          <w:rFonts w:ascii="Times New Roman" w:hAnsi="Times New Roman" w:cs="Times New Roman"/>
          <w:i/>
          <w:sz w:val="20"/>
          <w:szCs w:val="20"/>
        </w:rPr>
        <w:t>F</w:t>
      </w:r>
      <w:r w:rsidRPr="00E21FB4">
        <w:rPr>
          <w:rFonts w:ascii="Times New Roman" w:hAnsi="Times New Roman" w:cs="Times New Roman"/>
          <w:i/>
          <w:sz w:val="20"/>
          <w:szCs w:val="20"/>
        </w:rPr>
        <w:t>orum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Pr="00E21FB4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5927B0" w:rsidRPr="00C9015B" w:rsidRDefault="005927B0" w:rsidP="005927B0">
      <w:pPr>
        <w:spacing w:before="12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015B">
        <w:rPr>
          <w:rFonts w:ascii="Times New Roman" w:hAnsi="Times New Roman" w:cs="Times New Roman"/>
          <w:b/>
          <w:i/>
          <w:sz w:val="20"/>
          <w:szCs w:val="20"/>
          <w:u w:val="single"/>
        </w:rPr>
        <w:t>Key words</w:t>
      </w:r>
      <w:r w:rsidRPr="00C9015B">
        <w:rPr>
          <w:rFonts w:ascii="Times New Roman" w:hAnsi="Times New Roman" w:cs="Times New Roman"/>
          <w:i/>
          <w:sz w:val="20"/>
          <w:szCs w:val="20"/>
        </w:rPr>
        <w:t>:</w:t>
      </w:r>
      <w:r w:rsidRPr="00C9015B">
        <w:rPr>
          <w:rFonts w:ascii="Times New Roman" w:hAnsi="Times New Roman" w:cs="Times New Roman"/>
          <w:b/>
          <w:i/>
          <w:sz w:val="20"/>
          <w:szCs w:val="20"/>
          <w:lang w:val="bg-BG"/>
        </w:rPr>
        <w:t xml:space="preserve"> </w:t>
      </w:r>
      <w:r w:rsidRPr="00C9015B">
        <w:rPr>
          <w:rFonts w:ascii="Times New Roman" w:hAnsi="Times New Roman" w:cs="Times New Roman"/>
          <w:i/>
          <w:sz w:val="20"/>
          <w:szCs w:val="20"/>
        </w:rPr>
        <w:t>improvement of business practices, business environment,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9015B">
        <w:rPr>
          <w:rFonts w:ascii="Times New Roman" w:hAnsi="Times New Roman" w:cs="Times New Roman"/>
          <w:i/>
          <w:sz w:val="20"/>
          <w:szCs w:val="20"/>
        </w:rPr>
        <w:t>competitive disadvantages, extreme neoliberal macroeconomic model, balanced macroeconomic model, pragmatic macroeconomic model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5927B0" w:rsidRPr="005927B0" w:rsidRDefault="005927B0" w:rsidP="00230B9A">
      <w:pPr>
        <w:spacing w:before="120"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230B9A" w:rsidRPr="00C4356A" w:rsidRDefault="00230B9A" w:rsidP="00230B9A">
      <w:pPr>
        <w:spacing w:before="120"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4356A">
        <w:rPr>
          <w:rFonts w:ascii="Times New Roman" w:hAnsi="Times New Roman" w:cs="Times New Roman"/>
          <w:b/>
          <w:sz w:val="24"/>
          <w:szCs w:val="24"/>
          <w:lang w:val="bg-BG"/>
        </w:rPr>
        <w:t>1. Методология на анализа</w:t>
      </w:r>
    </w:p>
    <w:p w:rsidR="00BD56AA" w:rsidRPr="006A1937" w:rsidRDefault="00230B9A" w:rsidP="00113B04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Целта на този анализ е да се </w:t>
      </w:r>
      <w:r w:rsidR="00C4356A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изведат 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препоръки за усъвършенстване на обучението </w:t>
      </w:r>
      <w:r w:rsidR="005F3713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>магистърска програма „Бизнес администрация“ (М</w:t>
      </w:r>
      <w:r w:rsidR="005F3713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БА). </w:t>
      </w:r>
      <w:r w:rsidR="005F3713">
        <w:rPr>
          <w:rFonts w:ascii="Times New Roman" w:hAnsi="Times New Roman" w:cs="Times New Roman"/>
          <w:sz w:val="24"/>
          <w:szCs w:val="24"/>
          <w:lang w:val="bg-BG"/>
        </w:rPr>
        <w:t xml:space="preserve">То се разбира 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като разширяване и прецизиране на програмата чрез обогатяване с нови курсове и специализации, </w:t>
      </w:r>
      <w:r w:rsidR="005F3713">
        <w:rPr>
          <w:rFonts w:ascii="Times New Roman" w:hAnsi="Times New Roman" w:cs="Times New Roman"/>
          <w:sz w:val="24"/>
          <w:szCs w:val="24"/>
          <w:lang w:val="bg-BG"/>
        </w:rPr>
        <w:t xml:space="preserve">и по-конкретно – като </w:t>
      </w:r>
      <w:r w:rsidR="00BD56AA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изграждане на знания и умения: </w:t>
      </w:r>
    </w:p>
    <w:p w:rsidR="00BD56AA" w:rsidRPr="006A1937" w:rsidRDefault="00935901" w:rsidP="00113B04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BD56AA" w:rsidRPr="006A1937">
        <w:rPr>
          <w:rFonts w:ascii="Times New Roman" w:hAnsi="Times New Roman" w:cs="Times New Roman"/>
          <w:sz w:val="24"/>
          <w:szCs w:val="24"/>
          <w:lang w:val="bg-BG"/>
        </w:rPr>
        <w:t>) за усъвършенстване на бизнеса и неговото управление;</w:t>
      </w:r>
    </w:p>
    <w:p w:rsidR="00BD56AA" w:rsidRPr="006A1937" w:rsidRDefault="00935901" w:rsidP="00113B04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</w:t>
      </w:r>
      <w:r w:rsidR="00BD56AA" w:rsidRPr="006A1937">
        <w:rPr>
          <w:rFonts w:ascii="Times New Roman" w:hAnsi="Times New Roman" w:cs="Times New Roman"/>
          <w:sz w:val="24"/>
          <w:szCs w:val="24"/>
          <w:lang w:val="bg-BG"/>
        </w:rPr>
        <w:t>) за анализ</w:t>
      </w:r>
      <w:r w:rsidR="005475A8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BD56AA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прогнозиране </w:t>
      </w:r>
      <w:r w:rsidR="005475A8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на промените в бизнес средата и за разработване на ефективни стратегии за </w:t>
      </w:r>
      <w:r w:rsidR="00BD56AA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адаптиране </w:t>
      </w:r>
      <w:r w:rsidR="005475A8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на бизнеса </w:t>
      </w:r>
      <w:r w:rsidR="00BD56AA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към </w:t>
      </w:r>
      <w:r w:rsidR="005475A8" w:rsidRPr="006A1937">
        <w:rPr>
          <w:rFonts w:ascii="Times New Roman" w:hAnsi="Times New Roman" w:cs="Times New Roman"/>
          <w:sz w:val="24"/>
          <w:szCs w:val="24"/>
          <w:lang w:val="bg-BG"/>
        </w:rPr>
        <w:t>тях</w:t>
      </w:r>
      <w:r w:rsidR="00BD56AA" w:rsidRPr="006A193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454FD" w:rsidRPr="006A1937" w:rsidRDefault="00BD56AA" w:rsidP="00113B04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Вторият аспект понастоящем се подценява, но той е твърде важен за изграждане на устойчиви стратегии за растеж и развитие на бизнеса в различните сектори на националното стопанство. </w:t>
      </w:r>
      <w:r w:rsidR="00A77E1A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A77E1A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 случая </w:t>
      </w:r>
      <w:r w:rsidR="00A77E1A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>ложността произтича от това, че бизнес средата</w:t>
      </w:r>
      <w:r w:rsidR="004454FD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 (макроикономиката)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 еволюира много динамично и тенденциите в тази еволюция се формират под съвкупното действие на </w:t>
      </w:r>
      <w:r w:rsidR="005475A8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множество 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>национални, регионални (интеграционните процеси в рамките на ЕС) и глобални фактори</w:t>
      </w:r>
      <w:r w:rsidR="005475A8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4454FD" w:rsidRPr="006A1937">
        <w:rPr>
          <w:rFonts w:ascii="Times New Roman" w:hAnsi="Times New Roman" w:cs="Times New Roman"/>
          <w:sz w:val="24"/>
          <w:szCs w:val="24"/>
          <w:lang w:val="bg-BG"/>
        </w:rPr>
        <w:t>За правилно</w:t>
      </w:r>
      <w:r w:rsidR="005475A8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то </w:t>
      </w:r>
      <w:r w:rsidR="004454FD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475A8" w:rsidRPr="006A1937">
        <w:rPr>
          <w:rFonts w:ascii="Times New Roman" w:hAnsi="Times New Roman" w:cs="Times New Roman"/>
          <w:sz w:val="24"/>
          <w:szCs w:val="24"/>
          <w:lang w:val="bg-BG"/>
        </w:rPr>
        <w:t>интерпретиране на т</w:t>
      </w:r>
      <w:r w:rsidR="004454FD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ези фактори и </w:t>
      </w:r>
      <w:r w:rsidR="00C4356A" w:rsidRPr="006A1937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5475A8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а </w:t>
      </w:r>
      <w:r w:rsidR="00C4356A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определяне на </w:t>
      </w:r>
      <w:r w:rsidR="004454FD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насоките за усъвършенстване </w:t>
      </w:r>
      <w:r w:rsidR="004454FD" w:rsidRPr="001758A0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обучението и програмата в специалност МБА </w:t>
      </w:r>
      <w:r w:rsidR="005475A8" w:rsidRPr="001758A0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4454FD" w:rsidRPr="001758A0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5475A8" w:rsidRPr="001758A0">
        <w:rPr>
          <w:rFonts w:ascii="Times New Roman" w:hAnsi="Times New Roman" w:cs="Times New Roman"/>
          <w:sz w:val="24"/>
          <w:szCs w:val="24"/>
          <w:lang w:val="bg-BG"/>
        </w:rPr>
        <w:t xml:space="preserve">налага </w:t>
      </w:r>
      <w:r w:rsidR="00C4356A" w:rsidRPr="001758A0">
        <w:rPr>
          <w:rFonts w:ascii="Times New Roman" w:hAnsi="Times New Roman" w:cs="Times New Roman"/>
          <w:sz w:val="24"/>
          <w:szCs w:val="24"/>
          <w:lang w:val="bg-BG"/>
        </w:rPr>
        <w:t xml:space="preserve">да бъдат използвани </w:t>
      </w:r>
      <w:r w:rsidR="004454FD" w:rsidRPr="001758A0">
        <w:rPr>
          <w:rFonts w:ascii="Times New Roman" w:hAnsi="Times New Roman" w:cs="Times New Roman"/>
          <w:sz w:val="24"/>
          <w:szCs w:val="24"/>
          <w:lang w:val="bg-BG"/>
        </w:rPr>
        <w:t>анализи, идентифициращи:</w:t>
      </w:r>
    </w:p>
    <w:p w:rsidR="00230B9A" w:rsidRPr="006A1937" w:rsidRDefault="00935901" w:rsidP="00113B04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4454FD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="00B71628" w:rsidRPr="006A1937">
        <w:rPr>
          <w:rFonts w:ascii="Times New Roman" w:hAnsi="Times New Roman" w:cs="Times New Roman"/>
          <w:sz w:val="24"/>
          <w:szCs w:val="24"/>
          <w:lang w:val="bg-BG"/>
        </w:rPr>
        <w:t>конкретната</w:t>
      </w:r>
      <w:r w:rsidR="004454FD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 ситуация в българската икономика понастоящем и </w:t>
      </w:r>
      <w:r w:rsidR="005475A8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позиционирането на националното стопанство </w:t>
      </w:r>
      <w:r w:rsidR="004454FD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в регионалната </w:t>
      </w:r>
      <w:r w:rsidR="005475A8" w:rsidRPr="006A1937">
        <w:rPr>
          <w:rFonts w:ascii="Times New Roman" w:hAnsi="Times New Roman" w:cs="Times New Roman"/>
          <w:sz w:val="24"/>
          <w:szCs w:val="24"/>
          <w:lang w:val="bg-BG"/>
        </w:rPr>
        <w:t>(регионът на страните</w:t>
      </w:r>
      <w:r w:rsidR="005F3713">
        <w:rPr>
          <w:rFonts w:ascii="Times New Roman" w:hAnsi="Times New Roman" w:cs="Times New Roman"/>
          <w:sz w:val="24"/>
          <w:szCs w:val="24"/>
          <w:lang w:val="bg-BG"/>
        </w:rPr>
        <w:t xml:space="preserve"> – членка на </w:t>
      </w:r>
      <w:r w:rsidR="005475A8" w:rsidRPr="006A1937">
        <w:rPr>
          <w:rFonts w:ascii="Times New Roman" w:hAnsi="Times New Roman" w:cs="Times New Roman"/>
          <w:sz w:val="24"/>
          <w:szCs w:val="24"/>
          <w:lang w:val="bg-BG"/>
        </w:rPr>
        <w:t>ЕС) и световната икономическа система като цяло</w:t>
      </w:r>
      <w:r w:rsidR="004454FD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B71628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За целта ще бъде използвана класификацията, представена в Доклада за глобалната конкурентоспособност на Световния икономически форум. </w:t>
      </w:r>
    </w:p>
    <w:p w:rsidR="00B71628" w:rsidRPr="006A1937" w:rsidRDefault="00935901" w:rsidP="00113B04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</w:t>
      </w:r>
      <w:r w:rsidR="00B71628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="005475A8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характеристиките на </w:t>
      </w:r>
      <w:r w:rsidR="00B71628" w:rsidRPr="006A1937">
        <w:rPr>
          <w:rFonts w:ascii="Times New Roman" w:hAnsi="Times New Roman" w:cs="Times New Roman"/>
          <w:sz w:val="24"/>
          <w:szCs w:val="24"/>
          <w:lang w:val="bg-BG"/>
        </w:rPr>
        <w:t>макроикономическия модел, който се прилага в икономиката на България в условията на прехода</w:t>
      </w:r>
      <w:r w:rsidR="001D0F73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 и възможните посоки за неговото изменение</w:t>
      </w:r>
      <w:r w:rsidR="005475A8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 в перспектива</w:t>
      </w:r>
      <w:r w:rsidR="00B13CF3" w:rsidRPr="006A193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71628" w:rsidRPr="00497695" w:rsidRDefault="00935901" w:rsidP="00113B04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B71628" w:rsidRPr="006A1937">
        <w:rPr>
          <w:rFonts w:ascii="Times New Roman" w:hAnsi="Times New Roman" w:cs="Times New Roman"/>
          <w:sz w:val="24"/>
          <w:szCs w:val="24"/>
          <w:lang w:val="bg-BG"/>
        </w:rPr>
        <w:t>) областите, в които най-силно се проявяват конкурентните недостатъци на българската икономика</w:t>
      </w:r>
      <w:r w:rsidR="005475A8" w:rsidRPr="006A193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1D0F73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 с оглед на включването им в предметната област на учебната програма. За целта ще бъдат използвани индикаторите, характеризиращи конкурентоспособността на българската икономика в Доклада за </w:t>
      </w:r>
      <w:r w:rsidR="005475A8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глобалната конкурентоспособност за </w:t>
      </w:r>
      <w:r w:rsidR="001D0F73" w:rsidRPr="006A1937">
        <w:rPr>
          <w:rFonts w:ascii="Times New Roman" w:hAnsi="Times New Roman" w:cs="Times New Roman"/>
          <w:sz w:val="24"/>
          <w:szCs w:val="24"/>
          <w:lang w:val="bg-BG"/>
        </w:rPr>
        <w:t>2013/2014 г.</w:t>
      </w:r>
    </w:p>
    <w:p w:rsidR="00B833C2" w:rsidRPr="006A1937" w:rsidRDefault="005F3713" w:rsidP="00113B04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Акцентирането върху горните източници на идеи за </w:t>
      </w:r>
      <w:r w:rsidR="00B833C2" w:rsidRPr="006A1937">
        <w:rPr>
          <w:rFonts w:ascii="Times New Roman" w:hAnsi="Times New Roman" w:cs="Times New Roman"/>
          <w:sz w:val="24"/>
          <w:szCs w:val="24"/>
          <w:lang w:val="bg-BG"/>
        </w:rPr>
        <w:t>усъвършенстване на М</w:t>
      </w:r>
      <w:r w:rsidR="00592AD5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B833C2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БА </w:t>
      </w:r>
      <w:r w:rsidR="00592AD5">
        <w:rPr>
          <w:rFonts w:ascii="Times New Roman" w:hAnsi="Times New Roman" w:cs="Times New Roman"/>
          <w:sz w:val="24"/>
          <w:szCs w:val="24"/>
          <w:lang w:val="bg-BG"/>
        </w:rPr>
        <w:t xml:space="preserve">се обяснява с необходимостта дизайнът на </w:t>
      </w:r>
      <w:r w:rsidR="00B833C2" w:rsidRPr="001758A0">
        <w:rPr>
          <w:rFonts w:ascii="Times New Roman" w:hAnsi="Times New Roman" w:cs="Times New Roman"/>
          <w:sz w:val="24"/>
          <w:szCs w:val="24"/>
          <w:lang w:val="bg-BG"/>
        </w:rPr>
        <w:t xml:space="preserve">предметната област и обучението </w:t>
      </w:r>
      <w:r w:rsidR="00592AD5" w:rsidRPr="001758A0">
        <w:rPr>
          <w:rFonts w:ascii="Times New Roman" w:hAnsi="Times New Roman" w:cs="Times New Roman"/>
          <w:sz w:val="24"/>
          <w:szCs w:val="24"/>
          <w:lang w:val="bg-BG"/>
        </w:rPr>
        <w:t xml:space="preserve">в Програмата </w:t>
      </w:r>
      <w:r w:rsidR="00B833C2" w:rsidRPr="001758A0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B833C2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а имат </w:t>
      </w:r>
      <w:r w:rsidR="00B833C2" w:rsidRPr="006A1937">
        <w:rPr>
          <w:rFonts w:ascii="Times New Roman" w:hAnsi="Times New Roman" w:cs="Times New Roman"/>
          <w:b/>
          <w:sz w:val="24"/>
          <w:szCs w:val="24"/>
          <w:lang w:val="bg-BG"/>
        </w:rPr>
        <w:t>изпреварващ характер</w:t>
      </w:r>
      <w:r w:rsidR="00B833C2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 по отношение на </w:t>
      </w:r>
      <w:r w:rsidR="00592AD5">
        <w:rPr>
          <w:rFonts w:ascii="Times New Roman" w:hAnsi="Times New Roman" w:cs="Times New Roman"/>
          <w:sz w:val="24"/>
          <w:szCs w:val="24"/>
          <w:lang w:val="bg-BG"/>
        </w:rPr>
        <w:t xml:space="preserve">реалностите в </w:t>
      </w:r>
      <w:r w:rsidR="00B833C2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българската бизнес практика. Причината е, че </w:t>
      </w:r>
      <w:r w:rsidR="00B51361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в много отношения </w:t>
      </w:r>
      <w:r w:rsidR="00592AD5">
        <w:rPr>
          <w:rFonts w:ascii="Times New Roman" w:hAnsi="Times New Roman" w:cs="Times New Roman"/>
          <w:sz w:val="24"/>
          <w:szCs w:val="24"/>
          <w:lang w:val="bg-BG"/>
        </w:rPr>
        <w:t xml:space="preserve">последната </w:t>
      </w:r>
      <w:r w:rsidR="00B833C2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носи </w:t>
      </w:r>
      <w:r w:rsidR="00B51361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белезите на изостаналост и </w:t>
      </w:r>
      <w:r w:rsidR="00B833C2" w:rsidRPr="006A1937">
        <w:rPr>
          <w:rFonts w:ascii="Times New Roman" w:hAnsi="Times New Roman" w:cs="Times New Roman"/>
          <w:sz w:val="24"/>
          <w:szCs w:val="24"/>
          <w:lang w:val="bg-BG"/>
        </w:rPr>
        <w:t>консервативн</w:t>
      </w:r>
      <w:r w:rsidR="00B51361" w:rsidRPr="006A1937">
        <w:rPr>
          <w:rFonts w:ascii="Times New Roman" w:hAnsi="Times New Roman" w:cs="Times New Roman"/>
          <w:sz w:val="24"/>
          <w:szCs w:val="24"/>
          <w:lang w:val="bg-BG"/>
        </w:rPr>
        <w:t>ост, характерни за</w:t>
      </w:r>
      <w:r w:rsidR="00B833C2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B833C2" w:rsidRPr="006A1937" w:rsidRDefault="00B833C2" w:rsidP="00113B04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B13CF3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все още незавършения процес на прехода към 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>пазарна икономика</w:t>
      </w:r>
      <w:r w:rsidR="00B13CF3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 и посредствени резултати в реализацията на нейните специфични предимства за ефективно разпределение и използване на икономическите ресурси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113B04" w:rsidRPr="006A1937" w:rsidRDefault="00B833C2" w:rsidP="00113B04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- малка отворена икономика, </w:t>
      </w:r>
      <w:r w:rsidR="00113B04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в която управляващите институции </w:t>
      </w:r>
      <w:r w:rsidR="00B51361" w:rsidRPr="006A1937"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="00113B04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51361" w:rsidRPr="006A1937">
        <w:rPr>
          <w:rFonts w:ascii="Times New Roman" w:hAnsi="Times New Roman" w:cs="Times New Roman"/>
          <w:sz w:val="24"/>
          <w:szCs w:val="24"/>
          <w:lang w:val="bg-BG"/>
        </w:rPr>
        <w:t>успява</w:t>
      </w:r>
      <w:r w:rsidR="00113B04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т </w:t>
      </w:r>
      <w:r w:rsidR="00B51361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да </w:t>
      </w:r>
      <w:r w:rsidR="00B13CF3" w:rsidRPr="006A1937">
        <w:rPr>
          <w:rFonts w:ascii="Times New Roman" w:hAnsi="Times New Roman" w:cs="Times New Roman"/>
          <w:sz w:val="24"/>
          <w:szCs w:val="24"/>
          <w:lang w:val="bg-BG"/>
        </w:rPr>
        <w:t>разработ</w:t>
      </w:r>
      <w:r w:rsidR="00113B04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ят </w:t>
      </w:r>
      <w:r w:rsidR="00B13CF3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B51361" w:rsidRPr="006A1937">
        <w:rPr>
          <w:rFonts w:ascii="Times New Roman" w:hAnsi="Times New Roman" w:cs="Times New Roman"/>
          <w:sz w:val="24"/>
          <w:szCs w:val="24"/>
          <w:lang w:val="bg-BG"/>
        </w:rPr>
        <w:t>прилож</w:t>
      </w:r>
      <w:r w:rsidR="00113B04" w:rsidRPr="006A1937">
        <w:rPr>
          <w:rFonts w:ascii="Times New Roman" w:hAnsi="Times New Roman" w:cs="Times New Roman"/>
          <w:sz w:val="24"/>
          <w:szCs w:val="24"/>
          <w:lang w:val="bg-BG"/>
        </w:rPr>
        <w:t>ат</w:t>
      </w:r>
      <w:r w:rsidR="00B51361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 адекватни стратегии за реинтеграция в регионалната и </w:t>
      </w:r>
      <w:r w:rsidR="00B13CF3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B51361" w:rsidRPr="006A1937">
        <w:rPr>
          <w:rFonts w:ascii="Times New Roman" w:hAnsi="Times New Roman" w:cs="Times New Roman"/>
          <w:sz w:val="24"/>
          <w:szCs w:val="24"/>
          <w:lang w:val="bg-BG"/>
        </w:rPr>
        <w:t>световна икономически системи като средство за реализиране на динамично догонващо развитие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;  </w:t>
      </w:r>
    </w:p>
    <w:p w:rsidR="00B51361" w:rsidRPr="006A1937" w:rsidRDefault="00B833C2" w:rsidP="00113B04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937">
        <w:rPr>
          <w:rFonts w:ascii="Times New Roman" w:hAnsi="Times New Roman" w:cs="Times New Roman"/>
          <w:sz w:val="24"/>
          <w:szCs w:val="24"/>
          <w:lang w:val="bg-BG"/>
        </w:rPr>
        <w:t>- страна с ниска конкурентоспособност</w:t>
      </w:r>
      <w:r w:rsidR="00B13CF3" w:rsidRPr="006A193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 намираща се в дъното на класациите в рамките на ЕС по </w:t>
      </w:r>
      <w:r w:rsidR="00B51361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равнище на 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>доходи, иновации</w:t>
      </w:r>
      <w:r w:rsidR="00B51361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 и т.н.</w:t>
      </w:r>
      <w:r w:rsidR="001758A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13B04" w:rsidRPr="006A1937" w:rsidRDefault="00113B04" w:rsidP="00B833C2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1D0F73" w:rsidRPr="00113B04" w:rsidRDefault="006408C0" w:rsidP="00230B9A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A1937">
        <w:rPr>
          <w:rFonts w:ascii="Times New Roman" w:hAnsi="Times New Roman" w:cs="Times New Roman"/>
          <w:b/>
          <w:sz w:val="24"/>
          <w:szCs w:val="24"/>
          <w:lang w:val="bg-BG"/>
        </w:rPr>
        <w:t xml:space="preserve">2. Относно позиционирането на </w:t>
      </w:r>
      <w:r w:rsidR="00194599" w:rsidRPr="006A1937">
        <w:rPr>
          <w:rFonts w:ascii="Times New Roman" w:hAnsi="Times New Roman" w:cs="Times New Roman"/>
          <w:b/>
          <w:sz w:val="24"/>
          <w:szCs w:val="24"/>
          <w:lang w:val="bg-BG"/>
        </w:rPr>
        <w:t>България в регионалната система на</w:t>
      </w:r>
      <w:r w:rsidR="00194599" w:rsidRPr="00113B0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страните от ЕС и в световното стопанство като цяло</w:t>
      </w:r>
      <w:r w:rsidR="00B63E5C" w:rsidRPr="00113B0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8342D8" w:rsidRPr="00113B04" w:rsidRDefault="008342D8" w:rsidP="00230B9A">
      <w:pPr>
        <w:spacing w:before="120"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13B04">
        <w:rPr>
          <w:rFonts w:ascii="Times New Roman" w:hAnsi="Times New Roman" w:cs="Times New Roman"/>
          <w:b/>
          <w:sz w:val="24"/>
          <w:szCs w:val="24"/>
          <w:lang w:val="bg-BG"/>
        </w:rPr>
        <w:t>2.1.</w:t>
      </w:r>
      <w:r w:rsidR="00B13CF3" w:rsidRPr="00113B0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Съвременното и</w:t>
      </w:r>
      <w:r w:rsidRPr="00113B04">
        <w:rPr>
          <w:rFonts w:ascii="Times New Roman" w:hAnsi="Times New Roman" w:cs="Times New Roman"/>
          <w:b/>
          <w:sz w:val="24"/>
          <w:szCs w:val="24"/>
          <w:lang w:val="bg-BG"/>
        </w:rPr>
        <w:t>кономическо равнище на България</w:t>
      </w:r>
    </w:p>
    <w:p w:rsidR="00230B9A" w:rsidRPr="00497695" w:rsidRDefault="00B63E5C" w:rsidP="00113B04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7695">
        <w:rPr>
          <w:rFonts w:ascii="Times New Roman" w:hAnsi="Times New Roman" w:cs="Times New Roman"/>
          <w:sz w:val="24"/>
          <w:szCs w:val="24"/>
          <w:lang w:val="bg-BG"/>
        </w:rPr>
        <w:t>В Доклада за глобалната конкурентоспособност за 2013/2014 г</w:t>
      </w:r>
      <w:r w:rsidR="00207F23" w:rsidRPr="00497695">
        <w:rPr>
          <w:rFonts w:ascii="Times New Roman" w:hAnsi="Times New Roman" w:cs="Times New Roman"/>
          <w:sz w:val="24"/>
          <w:szCs w:val="24"/>
          <w:lang w:val="bg-BG"/>
        </w:rPr>
        <w:t>. е представена класификация на включените в изследването 148 страни. В зависимост от стойностите на показател</w:t>
      </w:r>
      <w:r w:rsidR="00B13CF3" w:rsidRPr="00497695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207F23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13CF3" w:rsidRPr="00497695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207F23" w:rsidRPr="00497695">
        <w:rPr>
          <w:rFonts w:ascii="Times New Roman" w:hAnsi="Times New Roman" w:cs="Times New Roman"/>
          <w:sz w:val="24"/>
          <w:szCs w:val="24"/>
          <w:lang w:val="bg-BG"/>
        </w:rPr>
        <w:t>БВП на глава от населението</w:t>
      </w:r>
      <w:r w:rsidR="00B13CF3" w:rsidRPr="00497695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207F23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те са разпределени в пет категории</w:t>
      </w:r>
      <w:r w:rsidR="00B13CF3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- с</w:t>
      </w:r>
      <w:r w:rsidR="00207F23" w:rsidRPr="00497695">
        <w:rPr>
          <w:rFonts w:ascii="Times New Roman" w:hAnsi="Times New Roman" w:cs="Times New Roman"/>
          <w:sz w:val="24"/>
          <w:szCs w:val="24"/>
          <w:lang w:val="bg-BG"/>
        </w:rPr>
        <w:t>трани, чийто икономики функционират във:</w:t>
      </w:r>
    </w:p>
    <w:p w:rsidR="00207F23" w:rsidRPr="00497695" w:rsidRDefault="00935901" w:rsidP="00113B04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207F23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proofErr w:type="spellStart"/>
      <w:r w:rsidR="00207F23" w:rsidRPr="00497695">
        <w:rPr>
          <w:rFonts w:ascii="Times New Roman" w:hAnsi="Times New Roman" w:cs="Times New Roman"/>
          <w:sz w:val="24"/>
          <w:szCs w:val="24"/>
          <w:lang w:val="bg-BG"/>
        </w:rPr>
        <w:t>факторно-насочен</w:t>
      </w:r>
      <w:proofErr w:type="spellEnd"/>
      <w:r w:rsidR="00207F23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стадий на развитие (38 икономики), със стойности на показателя 2000 и по-малко </w:t>
      </w:r>
      <w:r w:rsidR="00B13CF3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щатски </w:t>
      </w:r>
      <w:r w:rsidR="00207F23" w:rsidRPr="00497695">
        <w:rPr>
          <w:rFonts w:ascii="Times New Roman" w:hAnsi="Times New Roman" w:cs="Times New Roman"/>
          <w:sz w:val="24"/>
          <w:szCs w:val="24"/>
          <w:lang w:val="bg-BG"/>
        </w:rPr>
        <w:t>долар</w:t>
      </w:r>
      <w:r w:rsidR="001534FC" w:rsidRPr="00497695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207F23" w:rsidRPr="00497695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207F23" w:rsidRPr="00497695" w:rsidRDefault="00935901" w:rsidP="00113B04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</w:t>
      </w:r>
      <w:r w:rsidR="00207F23" w:rsidRPr="00497695">
        <w:rPr>
          <w:rFonts w:ascii="Times New Roman" w:hAnsi="Times New Roman" w:cs="Times New Roman"/>
          <w:sz w:val="24"/>
          <w:szCs w:val="24"/>
          <w:lang w:val="bg-BG"/>
        </w:rPr>
        <w:t>) преход от първи към втори стадий (20 икономики), със стойности на показателя от 2000 до 2999 долар</w:t>
      </w:r>
      <w:r w:rsidR="001534FC" w:rsidRPr="00497695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207F23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</w:p>
    <w:p w:rsidR="00207F23" w:rsidRPr="00497695" w:rsidRDefault="00935901" w:rsidP="00113B04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в</w:t>
      </w:r>
      <w:r w:rsidR="00207F23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) втори стадий, наречен „стадий на нарастващата ефективност“ (31 икономики), със стойности на показателя от 3000 до 8999 долара; </w:t>
      </w:r>
    </w:p>
    <w:p w:rsidR="00207F23" w:rsidRPr="00497695" w:rsidRDefault="00935901" w:rsidP="00113B04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207F23" w:rsidRPr="00497695">
        <w:rPr>
          <w:rFonts w:ascii="Times New Roman" w:hAnsi="Times New Roman" w:cs="Times New Roman"/>
          <w:sz w:val="24"/>
          <w:szCs w:val="24"/>
          <w:lang w:val="bg-BG"/>
        </w:rPr>
        <w:t>) преход от втори към трети стадий (22 икономики), със стойност на показателя от  9000 до 17000 долара;</w:t>
      </w:r>
    </w:p>
    <w:p w:rsidR="00207F23" w:rsidRPr="00497695" w:rsidRDefault="00935901" w:rsidP="00207F23">
      <w:pPr>
        <w:spacing w:before="120"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207F23" w:rsidRPr="00497695">
        <w:rPr>
          <w:rFonts w:ascii="Times New Roman" w:hAnsi="Times New Roman" w:cs="Times New Roman"/>
          <w:sz w:val="24"/>
          <w:szCs w:val="24"/>
          <w:lang w:val="bg-BG"/>
        </w:rPr>
        <w:t>) трети</w:t>
      </w:r>
      <w:r w:rsidR="001D0D26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стадий, наречен „</w:t>
      </w:r>
      <w:r w:rsidR="00207F23" w:rsidRPr="00497695">
        <w:rPr>
          <w:rFonts w:ascii="Times New Roman" w:hAnsi="Times New Roman" w:cs="Times New Roman"/>
          <w:sz w:val="24"/>
          <w:szCs w:val="24"/>
          <w:lang w:val="bg-BG"/>
        </w:rPr>
        <w:t>иновационен стадий</w:t>
      </w:r>
      <w:r w:rsidR="001D0D26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“ (37 икономики), със стойности на показателя, надхвърлящи </w:t>
      </w:r>
      <w:r w:rsidR="00207F23" w:rsidRPr="00497695">
        <w:rPr>
          <w:rFonts w:ascii="Times New Roman" w:hAnsi="Times New Roman" w:cs="Times New Roman"/>
          <w:sz w:val="24"/>
          <w:szCs w:val="24"/>
          <w:lang w:val="bg-BG"/>
        </w:rPr>
        <w:t>17000 долара</w:t>
      </w:r>
      <w:r w:rsidR="001D0D26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B63E5C" w:rsidRPr="00497695" w:rsidRDefault="001D0D26" w:rsidP="001D0D26">
      <w:pPr>
        <w:spacing w:before="120"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Целта на Световния икономически форум </w:t>
      </w:r>
      <w:r w:rsidR="001534FC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е чрез </w:t>
      </w:r>
      <w:r w:rsidR="00B63E5C" w:rsidRPr="00497695">
        <w:rPr>
          <w:rFonts w:ascii="Times New Roman" w:hAnsi="Times New Roman" w:cs="Times New Roman"/>
          <w:sz w:val="24"/>
          <w:szCs w:val="24"/>
          <w:lang w:val="bg-BG"/>
        </w:rPr>
        <w:t>Индекс</w:t>
      </w:r>
      <w:r w:rsidR="001534FC" w:rsidRPr="00497695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B63E5C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за глобална конкурентоспособност да оцени способността на всяка страна да осигури висока степен на просперитет </w:t>
      </w:r>
      <w:r w:rsidR="001534FC" w:rsidRPr="00497695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B63E5C" w:rsidRPr="00497695">
        <w:rPr>
          <w:rFonts w:ascii="Times New Roman" w:hAnsi="Times New Roman" w:cs="Times New Roman"/>
          <w:sz w:val="24"/>
          <w:szCs w:val="24"/>
          <w:lang w:val="bg-BG"/>
        </w:rPr>
        <w:t>а своите граждани.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Той се основава върху </w:t>
      </w:r>
      <w:r w:rsidR="00B63E5C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12 </w:t>
      </w:r>
      <w:r w:rsidR="001534FC" w:rsidRPr="00497695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B63E5C" w:rsidRPr="00497695">
        <w:rPr>
          <w:rFonts w:ascii="Times New Roman" w:hAnsi="Times New Roman" w:cs="Times New Roman"/>
          <w:sz w:val="24"/>
          <w:szCs w:val="24"/>
          <w:lang w:val="bg-BG"/>
        </w:rPr>
        <w:t>стълба</w:t>
      </w:r>
      <w:r w:rsidR="001534FC" w:rsidRPr="00497695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B63E5C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, всеки 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от които </w:t>
      </w:r>
      <w:r w:rsidR="001534FC" w:rsidRPr="00497695">
        <w:rPr>
          <w:rFonts w:ascii="Times New Roman" w:hAnsi="Times New Roman" w:cs="Times New Roman"/>
          <w:sz w:val="24"/>
          <w:szCs w:val="24"/>
          <w:lang w:val="bg-BG"/>
        </w:rPr>
        <w:t>обхваща социално-икономически области,</w:t>
      </w:r>
      <w:r w:rsidR="00B63E5C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534FC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имащи </w:t>
      </w:r>
      <w:r w:rsidR="00B63E5C" w:rsidRPr="00497695">
        <w:rPr>
          <w:rFonts w:ascii="Times New Roman" w:hAnsi="Times New Roman" w:cs="Times New Roman"/>
          <w:sz w:val="24"/>
          <w:szCs w:val="24"/>
          <w:lang w:val="bg-BG"/>
        </w:rPr>
        <w:t>определящ</w:t>
      </w:r>
      <w:r w:rsidR="001534FC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о значение </w:t>
      </w:r>
      <w:r w:rsidR="00B63E5C" w:rsidRPr="00497695">
        <w:rPr>
          <w:rFonts w:ascii="Times New Roman" w:hAnsi="Times New Roman" w:cs="Times New Roman"/>
          <w:sz w:val="24"/>
          <w:szCs w:val="24"/>
          <w:lang w:val="bg-BG"/>
        </w:rPr>
        <w:t>за конкурентоспособността. Стълбовете са раз</w:t>
      </w:r>
      <w:r w:rsidR="00113B04">
        <w:rPr>
          <w:rFonts w:ascii="Times New Roman" w:hAnsi="Times New Roman" w:cs="Times New Roman"/>
          <w:sz w:val="24"/>
          <w:szCs w:val="24"/>
          <w:lang w:val="bg-BG"/>
        </w:rPr>
        <w:t>пределени</w:t>
      </w:r>
      <w:r w:rsidR="00B63E5C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в три групи, съответстващи на трите стадия на развитие – </w:t>
      </w:r>
      <w:r w:rsidR="001534FC" w:rsidRPr="00497695">
        <w:rPr>
          <w:rFonts w:ascii="Times New Roman" w:hAnsi="Times New Roman" w:cs="Times New Roman"/>
          <w:sz w:val="24"/>
          <w:szCs w:val="24"/>
          <w:lang w:val="bg-BG"/>
        </w:rPr>
        <w:t>„</w:t>
      </w:r>
      <w:proofErr w:type="spellStart"/>
      <w:r w:rsidRPr="00497695">
        <w:rPr>
          <w:rFonts w:ascii="Times New Roman" w:hAnsi="Times New Roman" w:cs="Times New Roman"/>
          <w:sz w:val="24"/>
          <w:szCs w:val="24"/>
          <w:lang w:val="bg-BG"/>
        </w:rPr>
        <w:t>факторно-насочен</w:t>
      </w:r>
      <w:proofErr w:type="spellEnd"/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стадий</w:t>
      </w:r>
      <w:r w:rsidR="001534FC" w:rsidRPr="00497695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534FC" w:rsidRPr="00497695">
        <w:rPr>
          <w:rFonts w:ascii="Times New Roman" w:hAnsi="Times New Roman" w:cs="Times New Roman"/>
          <w:sz w:val="24"/>
          <w:szCs w:val="24"/>
          <w:lang w:val="bg-BG"/>
        </w:rPr>
        <w:t>„</w:t>
      </w:r>
      <w:proofErr w:type="spellStart"/>
      <w:r w:rsidRPr="00497695">
        <w:rPr>
          <w:rFonts w:ascii="Times New Roman" w:hAnsi="Times New Roman" w:cs="Times New Roman"/>
          <w:sz w:val="24"/>
          <w:szCs w:val="24"/>
          <w:lang w:val="bg-BG"/>
        </w:rPr>
        <w:t>стадий</w:t>
      </w:r>
      <w:proofErr w:type="spellEnd"/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на нарастващата ефективност</w:t>
      </w:r>
      <w:r w:rsidR="001534FC" w:rsidRPr="00497695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1534FC" w:rsidRPr="00497695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>иновационен стадий</w:t>
      </w:r>
      <w:r w:rsidR="001534FC" w:rsidRPr="00497695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1534FC" w:rsidRPr="00497695" w:rsidRDefault="001D0D26" w:rsidP="001D0D26">
      <w:pPr>
        <w:spacing w:before="120"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В доклада за 2013/2014 г. България е позиционирана в групата на държавите, намиращи се в </w:t>
      </w:r>
      <w:r w:rsidR="00592AD5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>стадия на нарастващата ефективност</w:t>
      </w:r>
      <w:r w:rsidR="00592AD5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1534FC" w:rsidRPr="00497695">
        <w:rPr>
          <w:rFonts w:ascii="Times New Roman" w:hAnsi="Times New Roman" w:cs="Times New Roman"/>
          <w:sz w:val="24"/>
          <w:szCs w:val="24"/>
          <w:lang w:val="bg-BG"/>
        </w:rPr>
        <w:t>. В нея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се намират </w:t>
      </w:r>
      <w:r w:rsidR="001534FC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също така 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Китай, Македония, Сърбия и още една страна </w:t>
      </w:r>
      <w:r w:rsidR="00592AD5">
        <w:rPr>
          <w:rFonts w:ascii="Times New Roman" w:hAnsi="Times New Roman" w:cs="Times New Roman"/>
          <w:sz w:val="24"/>
          <w:szCs w:val="24"/>
          <w:lang w:val="bg-BG"/>
        </w:rPr>
        <w:t xml:space="preserve">в ЕС - 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Румъния.  </w:t>
      </w:r>
    </w:p>
    <w:p w:rsidR="001534FC" w:rsidRPr="00497695" w:rsidRDefault="001D0D26" w:rsidP="001D0D26">
      <w:pPr>
        <w:spacing w:before="120"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На следващия стадий, наречен </w:t>
      </w:r>
      <w:r w:rsidR="001534FC" w:rsidRPr="00497695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>преход към иновационен стадий на развитие</w:t>
      </w:r>
      <w:r w:rsidR="001534FC" w:rsidRPr="00497695">
        <w:rPr>
          <w:rFonts w:ascii="Times New Roman" w:hAnsi="Times New Roman" w:cs="Times New Roman"/>
          <w:sz w:val="24"/>
          <w:szCs w:val="24"/>
          <w:lang w:val="bg-BG"/>
        </w:rPr>
        <w:t>“,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се намират 7 страни – членки на ЕС (Литва, Латвия, Естония, Унгария, Хърватска, Полша, Словакия) и Турция. </w:t>
      </w:r>
    </w:p>
    <w:p w:rsidR="001D0D26" w:rsidRPr="00497695" w:rsidRDefault="001D0D26" w:rsidP="001D0D26">
      <w:pPr>
        <w:spacing w:before="120"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На висшия,  </w:t>
      </w:r>
      <w:r w:rsidR="001534FC" w:rsidRPr="00497695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>иновационен стадий</w:t>
      </w:r>
      <w:r w:rsidR="001534FC" w:rsidRPr="00497695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се намират икономиките на останалите страни - членки на ЕС, т.е. от новопри</w:t>
      </w:r>
      <w:r w:rsidR="002D58BB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съединилите се </w:t>
      </w:r>
      <w:r w:rsidR="001534FC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към ЕС 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>страни</w:t>
      </w:r>
      <w:r w:rsidR="00113B04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58BB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в него са включени 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само Чешката република и Словения.  </w:t>
      </w:r>
    </w:p>
    <w:p w:rsidR="002D58BB" w:rsidRPr="00497695" w:rsidRDefault="002D58BB" w:rsidP="001D0D26">
      <w:pPr>
        <w:spacing w:before="120"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497695">
        <w:rPr>
          <w:rFonts w:ascii="Times New Roman" w:hAnsi="Times New Roman" w:cs="Times New Roman"/>
          <w:sz w:val="24"/>
          <w:szCs w:val="24"/>
          <w:lang w:val="bg-BG"/>
        </w:rPr>
        <w:t>Според авторите на Доклада основните двигатели на развитието и растежа, х</w:t>
      </w:r>
      <w:r w:rsidR="001D0D26" w:rsidRPr="00497695">
        <w:rPr>
          <w:rFonts w:ascii="Times New Roman" w:hAnsi="Times New Roman" w:cs="Times New Roman"/>
          <w:sz w:val="24"/>
          <w:szCs w:val="24"/>
          <w:lang w:val="bg-BG"/>
        </w:rPr>
        <w:t>арактерн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>и за стадия</w:t>
      </w:r>
      <w:r w:rsidR="001D0D26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, на който се намира България, 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са </w:t>
      </w:r>
      <w:r w:rsidR="001D0D26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увеличението на ефективността 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в използването на икономическите ресурси и </w:t>
      </w:r>
      <w:r w:rsidR="001D0D26" w:rsidRPr="00497695">
        <w:rPr>
          <w:rFonts w:ascii="Times New Roman" w:hAnsi="Times New Roman" w:cs="Times New Roman"/>
          <w:sz w:val="24"/>
          <w:szCs w:val="24"/>
          <w:lang w:val="bg-BG"/>
        </w:rPr>
        <w:t>подобряването на качеството на произвежданата продукция. На този етап конкурентоспособността нараства приоритетно за сметка на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2D58BB" w:rsidRPr="00497695" w:rsidRDefault="002D58BB" w:rsidP="001D0D26">
      <w:pPr>
        <w:spacing w:before="120"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497695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1D0D26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висшето образование и обучението (стълб 5)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2D58BB" w:rsidRPr="00497695" w:rsidRDefault="002D58BB" w:rsidP="001D0D26">
      <w:pPr>
        <w:spacing w:before="120"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1D0D26" w:rsidRPr="00497695">
        <w:rPr>
          <w:rFonts w:ascii="Times New Roman" w:hAnsi="Times New Roman" w:cs="Times New Roman"/>
          <w:sz w:val="24"/>
          <w:szCs w:val="24"/>
          <w:lang w:val="bg-BG"/>
        </w:rPr>
        <w:t>ефективността на продуктовите пазари (стълб 6)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</w:p>
    <w:p w:rsidR="002D58BB" w:rsidRPr="00497695" w:rsidRDefault="002D58BB" w:rsidP="001D0D26">
      <w:pPr>
        <w:spacing w:before="120"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1D0D26" w:rsidRPr="00497695">
        <w:rPr>
          <w:rFonts w:ascii="Times New Roman" w:hAnsi="Times New Roman" w:cs="Times New Roman"/>
          <w:sz w:val="24"/>
          <w:szCs w:val="24"/>
          <w:lang w:val="bg-BG"/>
        </w:rPr>
        <w:t>добре функциониращи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1D0D26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трудови пазари (стълб 7)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2D58BB" w:rsidRPr="00497695" w:rsidRDefault="002D58BB" w:rsidP="001D0D26">
      <w:pPr>
        <w:spacing w:before="120"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1D0D26" w:rsidRPr="00497695">
        <w:rPr>
          <w:rFonts w:ascii="Times New Roman" w:hAnsi="Times New Roman" w:cs="Times New Roman"/>
          <w:sz w:val="24"/>
          <w:szCs w:val="24"/>
          <w:lang w:val="bg-BG"/>
        </w:rPr>
        <w:t>развити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1D0D26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финансови пазари (стълб 8)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2D58BB" w:rsidRPr="00497695" w:rsidRDefault="002D58BB" w:rsidP="001D0D26">
      <w:pPr>
        <w:spacing w:before="120"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1D0D26" w:rsidRPr="00497695">
        <w:rPr>
          <w:rFonts w:ascii="Times New Roman" w:hAnsi="Times New Roman" w:cs="Times New Roman"/>
          <w:sz w:val="24"/>
          <w:szCs w:val="24"/>
          <w:lang w:val="bg-BG"/>
        </w:rPr>
        <w:t>пълноценно използване възможностите на съществуващите технологии (стълб 9)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1D0D26" w:rsidRPr="00497695" w:rsidRDefault="002D58BB" w:rsidP="001D0D26">
      <w:pPr>
        <w:spacing w:before="120"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1D0D26" w:rsidRPr="00497695">
        <w:rPr>
          <w:rFonts w:ascii="Times New Roman" w:hAnsi="Times New Roman" w:cs="Times New Roman"/>
          <w:sz w:val="24"/>
          <w:szCs w:val="24"/>
          <w:lang w:val="bg-BG"/>
        </w:rPr>
        <w:t>голям вътрешен или външен пазар (стълб 10).</w:t>
      </w:r>
    </w:p>
    <w:p w:rsidR="001D0D26" w:rsidRPr="00497695" w:rsidRDefault="002D58BB" w:rsidP="001D0D26">
      <w:pPr>
        <w:spacing w:before="120"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Изводът е, че </w:t>
      </w:r>
      <w:r w:rsidR="001D0D26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България 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1D0D26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Румъния са единствените страни – членки на ЕС-28, 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чиито икономика са </w:t>
      </w:r>
      <w:r w:rsidR="001534FC" w:rsidRPr="00497695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1D0D26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т.нар. втори 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стадий </w:t>
      </w:r>
      <w:r w:rsidR="001D0D26" w:rsidRPr="00497695">
        <w:rPr>
          <w:rFonts w:ascii="Times New Roman" w:hAnsi="Times New Roman" w:cs="Times New Roman"/>
          <w:sz w:val="24"/>
          <w:szCs w:val="24"/>
          <w:lang w:val="bg-BG"/>
        </w:rPr>
        <w:t>на развитие, основа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ващ се върху </w:t>
      </w:r>
      <w:r w:rsidR="001D0D26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повишаване ефективността 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в използването на икономическите ресурси. </w:t>
      </w:r>
      <w:r w:rsidR="001D0D26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Всички останали </w:t>
      </w:r>
      <w:proofErr w:type="spellStart"/>
      <w:r w:rsidR="001D0D26" w:rsidRPr="00497695">
        <w:rPr>
          <w:rFonts w:ascii="Times New Roman" w:hAnsi="Times New Roman" w:cs="Times New Roman"/>
          <w:sz w:val="24"/>
          <w:szCs w:val="24"/>
          <w:lang w:val="bg-BG"/>
        </w:rPr>
        <w:t>нов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>оприсъединили</w:t>
      </w:r>
      <w:proofErr w:type="spellEnd"/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се страни</w:t>
      </w:r>
      <w:r w:rsidR="001D0D26" w:rsidRPr="00497695">
        <w:rPr>
          <w:rFonts w:ascii="Times New Roman" w:hAnsi="Times New Roman" w:cs="Times New Roman"/>
          <w:sz w:val="24"/>
          <w:szCs w:val="24"/>
          <w:lang w:val="bg-BG"/>
        </w:rPr>
        <w:t>, включително Хърватска, са в една или друга степен в период на трансформация от растеж, основа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ващ се </w:t>
      </w:r>
      <w:r w:rsidR="001D0D26" w:rsidRPr="00497695">
        <w:rPr>
          <w:rFonts w:ascii="Times New Roman" w:hAnsi="Times New Roman" w:cs="Times New Roman"/>
          <w:sz w:val="24"/>
          <w:szCs w:val="24"/>
          <w:lang w:val="bg-BG"/>
        </w:rPr>
        <w:t>върху ефективността, към растеж, основа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ващ се </w:t>
      </w:r>
      <w:r w:rsidR="001D0D26" w:rsidRPr="00497695">
        <w:rPr>
          <w:rFonts w:ascii="Times New Roman" w:hAnsi="Times New Roman" w:cs="Times New Roman"/>
          <w:sz w:val="24"/>
          <w:szCs w:val="24"/>
          <w:lang w:val="bg-BG"/>
        </w:rPr>
        <w:t>върху иновациите</w:t>
      </w:r>
      <w:r w:rsidR="001534FC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и разчитат на ново знание и технологии като източник на висока добавена стойност и по-добро качество на живот.</w:t>
      </w:r>
    </w:p>
    <w:p w:rsidR="00113B04" w:rsidRDefault="00113B04" w:rsidP="001D0D26">
      <w:pPr>
        <w:spacing w:before="120"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D0D26" w:rsidRPr="00113B04" w:rsidRDefault="00205E89" w:rsidP="001D0D26">
      <w:pPr>
        <w:spacing w:before="120"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13B04">
        <w:rPr>
          <w:rFonts w:ascii="Times New Roman" w:hAnsi="Times New Roman" w:cs="Times New Roman"/>
          <w:b/>
          <w:sz w:val="24"/>
          <w:szCs w:val="24"/>
          <w:lang w:val="bg-BG"/>
        </w:rPr>
        <w:t>2.</w:t>
      </w:r>
      <w:r w:rsidR="008342D8" w:rsidRPr="00113B0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113B0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Дефиниране на макроикономическия модел на България</w:t>
      </w:r>
    </w:p>
    <w:p w:rsidR="00CE4DFE" w:rsidRPr="00497695" w:rsidRDefault="00CE4DFE" w:rsidP="00614A3C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Правилното дефиниране на прилагания в </w:t>
      </w:r>
      <w:r w:rsidR="00E075E7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България </w:t>
      </w:r>
      <w:r w:rsidR="006A1937">
        <w:rPr>
          <w:rFonts w:ascii="Times New Roman" w:hAnsi="Times New Roman" w:cs="Times New Roman"/>
          <w:sz w:val="24"/>
          <w:szCs w:val="24"/>
          <w:lang w:val="bg-BG"/>
        </w:rPr>
        <w:t>макро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>икономически модел е твърде важно, защото от него произтичат главните социално-икономически цели, стоящи пред страната и оттам – основните насоки за усъвършенстване предметното съдържание на М</w:t>
      </w:r>
      <w:r w:rsidR="00592AD5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>БА.</w:t>
      </w:r>
    </w:p>
    <w:p w:rsidR="00075FAF" w:rsidRPr="00497695" w:rsidRDefault="00B20AC0" w:rsidP="00614A3C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7695">
        <w:rPr>
          <w:rFonts w:ascii="Times New Roman" w:hAnsi="Times New Roman" w:cs="Times New Roman"/>
          <w:sz w:val="24"/>
          <w:szCs w:val="24"/>
          <w:lang w:val="bg-BG"/>
        </w:rPr>
        <w:t>България е позиционирана в една и съща категория с Китай</w:t>
      </w:r>
      <w:r w:rsidR="00CE4DFE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(втори стадий)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, но </w:t>
      </w:r>
      <w:r w:rsidR="00614A3C">
        <w:rPr>
          <w:rFonts w:ascii="Times New Roman" w:hAnsi="Times New Roman" w:cs="Times New Roman"/>
          <w:sz w:val="24"/>
          <w:szCs w:val="24"/>
          <w:lang w:val="bg-BG"/>
        </w:rPr>
        <w:t xml:space="preserve">разликата </w:t>
      </w:r>
      <w:r w:rsidR="00CE4DFE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в класацията 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на двете страни според </w:t>
      </w:r>
      <w:r w:rsidR="00E075E7" w:rsidRPr="00497695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ндекса за глобална конкурентоспособност е огромна – Китай </w:t>
      </w:r>
      <w:r w:rsidR="00CE4DFE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е на 29 място, докато България е на 57 място. </w:t>
      </w:r>
      <w:r w:rsidR="00E075E7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Нещо повече, </w:t>
      </w:r>
      <w:r w:rsidR="00CE4DFE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в класацията по същия индекс България изпреварва Кипър (58 място), Словения (62), Унгария (63), Хърватска (75), Румъния (76), Словакия (78), </w:t>
      </w:r>
      <w:r w:rsidR="00E075E7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но въпреки това, продължава неизменно да </w:t>
      </w:r>
      <w:r w:rsidR="00CE4DFE" w:rsidRPr="00497695">
        <w:rPr>
          <w:rFonts w:ascii="Times New Roman" w:hAnsi="Times New Roman" w:cs="Times New Roman"/>
          <w:sz w:val="24"/>
          <w:szCs w:val="24"/>
          <w:lang w:val="bg-BG"/>
        </w:rPr>
        <w:t>заема последното място сред страните от ЕС по показателя БВП на глава от населението</w:t>
      </w:r>
      <w:r w:rsidR="00CE4DFE" w:rsidRPr="00497695">
        <w:rPr>
          <w:rStyle w:val="FootnoteReference"/>
          <w:rFonts w:ascii="Times New Roman" w:hAnsi="Times New Roman" w:cs="Times New Roman"/>
          <w:sz w:val="24"/>
          <w:szCs w:val="24"/>
          <w:lang w:val="bg-BG"/>
        </w:rPr>
        <w:footnoteReference w:id="1"/>
      </w:r>
      <w:r w:rsidR="00CE4DFE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AC2A9C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Причината за това разминаване в двете класации е </w:t>
      </w:r>
      <w:r w:rsidR="00AC2A9C" w:rsidRPr="00614A3C">
        <w:rPr>
          <w:rFonts w:ascii="Times New Roman" w:hAnsi="Times New Roman" w:cs="Times New Roman"/>
          <w:b/>
          <w:sz w:val="24"/>
          <w:szCs w:val="24"/>
          <w:lang w:val="bg-BG"/>
        </w:rPr>
        <w:t>специфичният макроикономически модел</w:t>
      </w:r>
      <w:r w:rsidR="00AC2A9C" w:rsidRPr="00497695">
        <w:rPr>
          <w:rFonts w:ascii="Times New Roman" w:hAnsi="Times New Roman" w:cs="Times New Roman"/>
          <w:sz w:val="24"/>
          <w:szCs w:val="24"/>
          <w:lang w:val="bg-BG"/>
        </w:rPr>
        <w:t>, прилаган в България в периода на прехода</w:t>
      </w:r>
      <w:r w:rsidR="00E075E7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от планова към пазарна икономика</w:t>
      </w:r>
      <w:r w:rsidR="00AC2A9C" w:rsidRPr="00497695">
        <w:rPr>
          <w:rFonts w:ascii="Times New Roman" w:hAnsi="Times New Roman" w:cs="Times New Roman"/>
          <w:sz w:val="24"/>
          <w:szCs w:val="24"/>
          <w:lang w:val="bg-BG"/>
        </w:rPr>
        <w:t>. Характерно за него е, че той не генерира достатъчно динамично развитие</w:t>
      </w:r>
      <w:r w:rsidR="00075FAF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и държи страната в дъното на европейската класация по </w:t>
      </w:r>
      <w:r w:rsidR="00614A3C">
        <w:rPr>
          <w:rFonts w:ascii="Times New Roman" w:hAnsi="Times New Roman" w:cs="Times New Roman"/>
          <w:sz w:val="24"/>
          <w:szCs w:val="24"/>
          <w:lang w:val="bg-BG"/>
        </w:rPr>
        <w:t>икономически равнища.</w:t>
      </w:r>
      <w:r w:rsidR="00AC2A9C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825D0" w:rsidRPr="00497695" w:rsidRDefault="00075FAF" w:rsidP="00614A3C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Най-подходящ критерий за </w:t>
      </w:r>
      <w:r w:rsidR="00E075E7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разграничаване на прилаганите макроикономически модели (определящи характера на бизнес средата) в новоприсъединилите се към ЕС страни е 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>„съотношение</w:t>
      </w:r>
      <w:r w:rsidR="004A44CC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между </w:t>
      </w:r>
      <w:r w:rsidR="007825D0" w:rsidRPr="00497695">
        <w:rPr>
          <w:rFonts w:ascii="Times New Roman" w:hAnsi="Times New Roman" w:cs="Times New Roman"/>
          <w:sz w:val="24"/>
          <w:szCs w:val="24"/>
          <w:lang w:val="bg-BG"/>
        </w:rPr>
        <w:t>активността на правителственото и пазарното регулиране на икономика</w:t>
      </w:r>
      <w:r w:rsidR="00E075E7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та“ </w:t>
      </w:r>
      <w:r w:rsidR="007825D0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. Според него </w:t>
      </w:r>
      <w:r w:rsidR="00E075E7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се очертават две основни групи: </w:t>
      </w:r>
      <w:r w:rsidR="007825D0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825D0" w:rsidRPr="00497695" w:rsidRDefault="007825D0" w:rsidP="00614A3C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а) </w:t>
      </w:r>
      <w:r w:rsidR="00E075E7" w:rsidRPr="00497695">
        <w:rPr>
          <w:rFonts w:ascii="Times New Roman" w:hAnsi="Times New Roman" w:cs="Times New Roman"/>
          <w:sz w:val="24"/>
          <w:szCs w:val="24"/>
          <w:lang w:val="bg-BG"/>
        </w:rPr>
        <w:t>страни, прилагащи „</w:t>
      </w:r>
      <w:r w:rsidR="00230497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крайно 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>неолиберален модел</w:t>
      </w:r>
      <w:r w:rsidR="00E075E7" w:rsidRPr="00497695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, характеризиращ се с </w:t>
      </w:r>
      <w:r w:rsidR="00E075E7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ясно изразен 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>приоритет на автоматично-действащите пазарни механизми („невидимата ръка на пазара“) над правителственото регулиране;</w:t>
      </w:r>
    </w:p>
    <w:p w:rsidR="007825D0" w:rsidRPr="00497695" w:rsidRDefault="007825D0" w:rsidP="00614A3C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б) </w:t>
      </w:r>
      <w:r w:rsidR="00E075E7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страни, прилагащи 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балансиран („умерено неолиберален“) модел, в който </w:t>
      </w:r>
      <w:r w:rsidR="00E075E7" w:rsidRPr="00497695">
        <w:rPr>
          <w:rFonts w:ascii="Times New Roman" w:hAnsi="Times New Roman" w:cs="Times New Roman"/>
          <w:sz w:val="24"/>
          <w:szCs w:val="24"/>
          <w:lang w:val="bg-BG"/>
        </w:rPr>
        <w:t>наред с действието на „невидимата ръка“</w:t>
      </w:r>
      <w:r w:rsidR="00E25108" w:rsidRPr="0049769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E075E7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>се запазва активн</w:t>
      </w:r>
      <w:r w:rsidR="00E075E7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ата правителствена намеса </w:t>
      </w:r>
      <w:r w:rsidR="00E25108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чрез инструментите на различните видове икономическа политика – валутно-курсова, парична, фискална и т.н. 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32533" w:rsidRPr="00497695" w:rsidRDefault="007825D0" w:rsidP="00614A3C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7695">
        <w:rPr>
          <w:rFonts w:ascii="Times New Roman" w:hAnsi="Times New Roman" w:cs="Times New Roman"/>
          <w:sz w:val="24"/>
          <w:szCs w:val="24"/>
          <w:lang w:val="bg-BG"/>
        </w:rPr>
        <w:t>Към първата група спадат страните</w:t>
      </w:r>
      <w:r w:rsidR="008D4966" w:rsidRPr="00497695">
        <w:rPr>
          <w:rFonts w:ascii="Times New Roman" w:hAnsi="Times New Roman" w:cs="Times New Roman"/>
          <w:sz w:val="24"/>
          <w:szCs w:val="24"/>
          <w:lang w:val="bg-BG"/>
        </w:rPr>
        <w:t>, в които правителствата са въвели фиксиран валутно-курсов режим</w:t>
      </w:r>
      <w:r w:rsidR="00032533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(предимно на основата на паричен съвет)</w:t>
      </w:r>
      <w:r w:rsidR="008D4966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, който ги </w:t>
      </w:r>
      <w:r w:rsidR="008D4966" w:rsidRPr="00A74FCF">
        <w:rPr>
          <w:rFonts w:ascii="Times New Roman" w:hAnsi="Times New Roman" w:cs="Times New Roman"/>
          <w:b/>
          <w:sz w:val="24"/>
          <w:szCs w:val="24"/>
          <w:lang w:val="bg-BG"/>
        </w:rPr>
        <w:t>лишава от възможността да провеждат валутно-курсова и парична политика</w:t>
      </w:r>
      <w:r w:rsidR="008D4966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, имащи ключово значение за стабилизиране на икономиката. Това са страните от </w:t>
      </w:r>
      <w:r w:rsidR="00A74FCF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8D4966" w:rsidRPr="00497695">
        <w:rPr>
          <w:rFonts w:ascii="Times New Roman" w:hAnsi="Times New Roman" w:cs="Times New Roman"/>
          <w:sz w:val="24"/>
          <w:szCs w:val="24"/>
          <w:lang w:val="bg-BG"/>
        </w:rPr>
        <w:t>групата БЕЛЛ</w:t>
      </w:r>
      <w:r w:rsidR="00A74FCF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8D4966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– България, Естония</w:t>
      </w:r>
      <w:r w:rsidR="00A74FCF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8D4966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Литва и Латвия</w:t>
      </w:r>
      <w:r w:rsidR="00A74FCF">
        <w:rPr>
          <w:rStyle w:val="FootnoteReference"/>
          <w:rFonts w:ascii="Times New Roman" w:hAnsi="Times New Roman" w:cs="Times New Roman"/>
          <w:sz w:val="24"/>
          <w:szCs w:val="24"/>
          <w:lang w:val="bg-BG"/>
        </w:rPr>
        <w:footnoteReference w:id="2"/>
      </w:r>
      <w:r w:rsidR="008D4966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614A3C" w:rsidRDefault="008D4966" w:rsidP="00614A3C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032533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същите 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страни в значителна степен са блокирани и възможностите за провеждане на </w:t>
      </w:r>
      <w:r w:rsidR="00935901">
        <w:rPr>
          <w:rFonts w:ascii="Times New Roman" w:hAnsi="Times New Roman" w:cs="Times New Roman"/>
          <w:sz w:val="24"/>
          <w:szCs w:val="24"/>
          <w:lang w:val="bg-BG"/>
        </w:rPr>
        <w:t xml:space="preserve">активна 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>фискална политика, поради</w:t>
      </w:r>
      <w:r w:rsidR="00935901">
        <w:rPr>
          <w:rFonts w:ascii="Times New Roman" w:hAnsi="Times New Roman" w:cs="Times New Roman"/>
          <w:sz w:val="24"/>
          <w:szCs w:val="24"/>
          <w:lang w:val="bg-BG"/>
        </w:rPr>
        <w:t xml:space="preserve"> следните причини. Първо, това са общите ограничения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>, действащи в ЕС по отношения на бюджетния дефицит и общия държавен дълг като проценти от БВП – съответно 3% и 60%</w:t>
      </w:r>
      <w:r w:rsidR="0093590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B774FC" w:rsidRPr="00B774FC" w:rsidRDefault="00935901" w:rsidP="00B774FC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Второ</w:t>
      </w:r>
      <w:r w:rsidR="00E404FB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страните с крайно неолиберален макроикономически модел се характеризират със стремеж към „минимизиране“ </w:t>
      </w:r>
      <w:r w:rsidR="00E404FB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B774FC">
        <w:rPr>
          <w:rFonts w:ascii="Times New Roman" w:hAnsi="Times New Roman" w:cs="Times New Roman"/>
          <w:sz w:val="24"/>
          <w:szCs w:val="24"/>
          <w:lang w:val="bg-BG"/>
        </w:rPr>
        <w:t xml:space="preserve">ролята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държавата </w:t>
      </w:r>
      <w:r w:rsidR="00B774FC">
        <w:rPr>
          <w:rFonts w:ascii="Times New Roman" w:hAnsi="Times New Roman" w:cs="Times New Roman"/>
          <w:sz w:val="24"/>
          <w:szCs w:val="24"/>
          <w:lang w:val="bg-BG"/>
        </w:rPr>
        <w:t xml:space="preserve">в икономиката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B774FC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proofErr w:type="spellStart"/>
      <w:r w:rsidR="00B774FC">
        <w:rPr>
          <w:rFonts w:ascii="Times New Roman" w:hAnsi="Times New Roman" w:cs="Times New Roman"/>
          <w:sz w:val="24"/>
          <w:szCs w:val="24"/>
          <w:lang w:val="bg-BG"/>
        </w:rPr>
        <w:t>преразпределителните</w:t>
      </w:r>
      <w:proofErr w:type="spellEnd"/>
      <w:r w:rsidR="00B774FC">
        <w:rPr>
          <w:rFonts w:ascii="Times New Roman" w:hAnsi="Times New Roman" w:cs="Times New Roman"/>
          <w:sz w:val="24"/>
          <w:szCs w:val="24"/>
          <w:lang w:val="bg-BG"/>
        </w:rPr>
        <w:t xml:space="preserve"> функции на държавния бюджет. </w:t>
      </w:r>
      <w:r w:rsidR="00E404FB">
        <w:rPr>
          <w:rFonts w:ascii="Times New Roman" w:hAnsi="Times New Roman" w:cs="Times New Roman"/>
          <w:sz w:val="24"/>
          <w:szCs w:val="24"/>
          <w:lang w:val="bg-BG"/>
        </w:rPr>
        <w:t xml:space="preserve">Това намира конкретен израз в ниското процентно съотношение на данъчните приходи (а оттам – и на правителствените разходи) към БВП. По данни на </w:t>
      </w:r>
      <w:proofErr w:type="spellStart"/>
      <w:r w:rsidR="00E404FB">
        <w:rPr>
          <w:rFonts w:ascii="Times New Roman" w:hAnsi="Times New Roman" w:cs="Times New Roman"/>
          <w:sz w:val="24"/>
          <w:szCs w:val="24"/>
          <w:lang w:val="bg-BG"/>
        </w:rPr>
        <w:t>Евростат</w:t>
      </w:r>
      <w:proofErr w:type="spellEnd"/>
      <w:r w:rsidR="00E404FB">
        <w:rPr>
          <w:rFonts w:ascii="Times New Roman" w:hAnsi="Times New Roman" w:cs="Times New Roman"/>
          <w:sz w:val="24"/>
          <w:szCs w:val="24"/>
          <w:lang w:val="bg-BG"/>
        </w:rPr>
        <w:t xml:space="preserve"> през </w:t>
      </w:r>
      <w:r w:rsidR="00B774FC">
        <w:rPr>
          <w:rFonts w:ascii="Times New Roman" w:hAnsi="Times New Roman" w:cs="Times New Roman"/>
          <w:sz w:val="24"/>
          <w:szCs w:val="24"/>
          <w:lang w:val="bg-BG"/>
        </w:rPr>
        <w:t xml:space="preserve">2012 г. </w:t>
      </w:r>
      <w:r w:rsidR="00E404FB">
        <w:rPr>
          <w:rFonts w:ascii="Times New Roman" w:hAnsi="Times New Roman" w:cs="Times New Roman"/>
          <w:sz w:val="24"/>
          <w:szCs w:val="24"/>
          <w:lang w:val="bg-BG"/>
        </w:rPr>
        <w:t xml:space="preserve">то </w:t>
      </w:r>
      <w:r w:rsidR="00B774FC">
        <w:rPr>
          <w:rFonts w:ascii="Times New Roman" w:hAnsi="Times New Roman" w:cs="Times New Roman"/>
          <w:sz w:val="24"/>
          <w:szCs w:val="24"/>
          <w:lang w:val="bg-BG"/>
        </w:rPr>
        <w:t xml:space="preserve">е както следва: </w:t>
      </w:r>
      <w:r w:rsidR="00B774FC" w:rsidRPr="00B774FC">
        <w:rPr>
          <w:rFonts w:ascii="Times New Roman" w:hAnsi="Times New Roman" w:cs="Times New Roman"/>
          <w:sz w:val="24"/>
          <w:szCs w:val="24"/>
          <w:lang w:val="bg-BG"/>
        </w:rPr>
        <w:t>България – 27,9%; Естония – 32,5%; Латвия – 27,9%; Литва – 27,2%</w:t>
      </w:r>
      <w:r w:rsidR="00B774FC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B774FC" w:rsidRPr="00B774FC">
        <w:rPr>
          <w:rFonts w:ascii="Times New Roman" w:hAnsi="Times New Roman" w:cs="Times New Roman"/>
          <w:sz w:val="24"/>
          <w:szCs w:val="24"/>
          <w:lang w:val="bg-BG"/>
        </w:rPr>
        <w:t xml:space="preserve">средно за групата </w:t>
      </w:r>
      <w:r w:rsidR="00B774FC">
        <w:rPr>
          <w:rFonts w:ascii="Times New Roman" w:hAnsi="Times New Roman" w:cs="Times New Roman"/>
          <w:sz w:val="24"/>
          <w:szCs w:val="24"/>
          <w:lang w:val="bg-BG"/>
        </w:rPr>
        <w:t xml:space="preserve">страни </w:t>
      </w:r>
      <w:r w:rsidR="00B774FC" w:rsidRPr="00B774FC">
        <w:rPr>
          <w:rFonts w:ascii="Times New Roman" w:hAnsi="Times New Roman" w:cs="Times New Roman"/>
          <w:sz w:val="24"/>
          <w:szCs w:val="24"/>
          <w:lang w:val="bg-BG"/>
        </w:rPr>
        <w:t>– 28,9%.</w:t>
      </w:r>
    </w:p>
    <w:p w:rsidR="00475F72" w:rsidRPr="00475F72" w:rsidRDefault="00E25108" w:rsidP="00475F7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7695">
        <w:rPr>
          <w:rFonts w:ascii="Times New Roman" w:hAnsi="Times New Roman" w:cs="Times New Roman"/>
          <w:sz w:val="24"/>
          <w:szCs w:val="24"/>
          <w:lang w:val="bg-BG"/>
        </w:rPr>
        <w:t>В другата група попадат Чешката република, Полша, Унгария</w:t>
      </w:r>
      <w:r w:rsidR="00475F72">
        <w:rPr>
          <w:rFonts w:ascii="Times New Roman" w:hAnsi="Times New Roman" w:cs="Times New Roman"/>
          <w:sz w:val="24"/>
          <w:szCs w:val="24"/>
        </w:rPr>
        <w:t>r</w:t>
      </w:r>
      <w:r w:rsidR="00475F72" w:rsidRPr="00475F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5F72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475F72" w:rsidRPr="00475F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Румъния. </w:t>
      </w:r>
      <w:r w:rsidR="00475F72">
        <w:rPr>
          <w:rFonts w:ascii="Times New Roman" w:hAnsi="Times New Roman" w:cs="Times New Roman"/>
          <w:sz w:val="24"/>
          <w:szCs w:val="24"/>
          <w:lang w:val="bg-BG"/>
        </w:rPr>
        <w:t xml:space="preserve">За тях е характерно, че наред с паричната и валутно-курсовата политика, активно се използва и фискалната политика. В тези страни отсъства стремеж към минимизиране ролята на правителството в икономиката. По данни на </w:t>
      </w:r>
      <w:proofErr w:type="spellStart"/>
      <w:r w:rsidR="00475F72">
        <w:rPr>
          <w:rFonts w:ascii="Times New Roman" w:hAnsi="Times New Roman" w:cs="Times New Roman"/>
          <w:sz w:val="24"/>
          <w:szCs w:val="24"/>
          <w:lang w:val="bg-BG"/>
        </w:rPr>
        <w:t>Евростат</w:t>
      </w:r>
      <w:proofErr w:type="spellEnd"/>
      <w:r w:rsidR="00475F72">
        <w:rPr>
          <w:rFonts w:ascii="Times New Roman" w:hAnsi="Times New Roman" w:cs="Times New Roman"/>
          <w:sz w:val="24"/>
          <w:szCs w:val="24"/>
          <w:lang w:val="bg-BG"/>
        </w:rPr>
        <w:t xml:space="preserve"> процентното съотношение на данъчните приходи към БВП е както следва: </w:t>
      </w:r>
      <w:r w:rsidR="00475F72" w:rsidRPr="00475F72">
        <w:rPr>
          <w:rFonts w:ascii="Times New Roman" w:hAnsi="Times New Roman" w:cs="Times New Roman"/>
          <w:sz w:val="24"/>
          <w:szCs w:val="24"/>
          <w:lang w:val="bg-BG"/>
        </w:rPr>
        <w:t xml:space="preserve">Чехия – 35,0%; Унгария – 39,2%, </w:t>
      </w:r>
      <w:r w:rsidR="00475F72">
        <w:rPr>
          <w:rFonts w:ascii="Times New Roman" w:hAnsi="Times New Roman" w:cs="Times New Roman"/>
          <w:sz w:val="24"/>
          <w:szCs w:val="24"/>
          <w:lang w:val="bg-BG"/>
        </w:rPr>
        <w:t>Полша – 32,5%,; Румъния – 28,3%;</w:t>
      </w:r>
      <w:r w:rsidR="00475F72" w:rsidRPr="00475F72">
        <w:rPr>
          <w:rFonts w:ascii="Times New Roman" w:hAnsi="Times New Roman" w:cs="Times New Roman"/>
          <w:sz w:val="24"/>
          <w:szCs w:val="24"/>
          <w:lang w:val="bg-BG"/>
        </w:rPr>
        <w:t xml:space="preserve"> средно за групата – 33,8%</w:t>
      </w:r>
      <w:r w:rsidR="00475F72">
        <w:rPr>
          <w:rStyle w:val="FootnoteReference"/>
          <w:rFonts w:ascii="Times New Roman" w:hAnsi="Times New Roman" w:cs="Times New Roman"/>
          <w:sz w:val="24"/>
          <w:szCs w:val="24"/>
          <w:lang w:val="bg-BG"/>
        </w:rPr>
        <w:footnoteReference w:id="3"/>
      </w:r>
      <w:r w:rsidR="00475F72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E25108" w:rsidRPr="00497695" w:rsidRDefault="00985AD4" w:rsidP="00614A3C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Характерно е, че Полша и Чехия - страни с балансиран </w:t>
      </w:r>
      <w:r w:rsidR="00475F72">
        <w:rPr>
          <w:rFonts w:ascii="Times New Roman" w:hAnsi="Times New Roman" w:cs="Times New Roman"/>
          <w:sz w:val="24"/>
          <w:szCs w:val="24"/>
          <w:lang w:val="bg-BG"/>
        </w:rPr>
        <w:t>макро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>икономически модел – демонстрират висока динамика на икономическо развитие и растеж. Това става ясно от факта, че според Доклада за глобалната конк</w:t>
      </w:r>
      <w:r w:rsidR="00230497" w:rsidRPr="00497695">
        <w:rPr>
          <w:rFonts w:ascii="Times New Roman" w:hAnsi="Times New Roman" w:cs="Times New Roman"/>
          <w:sz w:val="24"/>
          <w:szCs w:val="24"/>
          <w:lang w:val="bg-BG"/>
        </w:rPr>
        <w:t>уре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>нтоспособност Чехия е на висшия иновационен стадий на развитие, докато нито една от страните в групата БЕЛЛ не попада в тази категория</w:t>
      </w:r>
      <w:r w:rsidR="00E25108" w:rsidRPr="0049769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14A3C" w:rsidRDefault="00985AD4" w:rsidP="00AC2A9C">
      <w:pPr>
        <w:spacing w:before="120"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497695">
        <w:rPr>
          <w:rFonts w:ascii="Times New Roman" w:hAnsi="Times New Roman" w:cs="Times New Roman"/>
          <w:sz w:val="24"/>
          <w:szCs w:val="24"/>
          <w:lang w:val="bg-BG"/>
        </w:rPr>
        <w:t>Същевременно, Полша, която е на етап „преход към третия стадий“</w:t>
      </w:r>
      <w:r w:rsidR="00E25108" w:rsidRPr="0049769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се характеризира със значително по-висока динамика на икономическия растеж в сравнение със страните от групата БЕЛЛ. Нещо повече</w:t>
      </w:r>
      <w:r w:rsidR="00E25108" w:rsidRPr="0049769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в периода на Голямата </w:t>
      </w:r>
      <w:r w:rsidR="00230497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рецесия </w:t>
      </w:r>
      <w:r w:rsidR="00E25108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(от 2008 г. насам) 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>Полша бе единствената страна в ЕС</w:t>
      </w:r>
      <w:r w:rsidR="00230497" w:rsidRPr="0049769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която </w:t>
      </w:r>
      <w:r w:rsidR="00230497" w:rsidRPr="00497695">
        <w:rPr>
          <w:rFonts w:ascii="Times New Roman" w:hAnsi="Times New Roman" w:cs="Times New Roman"/>
          <w:sz w:val="24"/>
          <w:szCs w:val="24"/>
          <w:lang w:val="bg-BG"/>
        </w:rPr>
        <w:t>запази положителни темпове</w:t>
      </w:r>
      <w:r w:rsidR="00A74FCF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230497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на растежа, 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>докато Литва, Латвия</w:t>
      </w:r>
      <w:r w:rsidR="00E25108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>Естония регистрира</w:t>
      </w:r>
      <w:r w:rsidR="00E25108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ха 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>най-дълбок</w:t>
      </w:r>
      <w:r w:rsidR="00E25108" w:rsidRPr="00497695">
        <w:rPr>
          <w:rFonts w:ascii="Times New Roman" w:hAnsi="Times New Roman" w:cs="Times New Roman"/>
          <w:sz w:val="24"/>
          <w:szCs w:val="24"/>
          <w:lang w:val="bg-BG"/>
        </w:rPr>
        <w:t>ия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спад на БВП в световен мащаб. </w:t>
      </w:r>
    </w:p>
    <w:p w:rsidR="00230497" w:rsidRPr="00497695" w:rsidRDefault="00230497" w:rsidP="00AC2A9C">
      <w:pPr>
        <w:spacing w:before="120"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497695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AC2A9C" w:rsidRPr="00497695">
        <w:rPr>
          <w:rFonts w:ascii="Times New Roman" w:hAnsi="Times New Roman" w:cs="Times New Roman"/>
          <w:sz w:val="24"/>
          <w:szCs w:val="24"/>
          <w:lang w:val="bg-BG"/>
        </w:rPr>
        <w:t>иаметралн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AC2A9C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противополож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ност на крайно неолибералния модел е </w:t>
      </w:r>
      <w:r w:rsidR="00E25108" w:rsidRPr="00497695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прагматичният </w:t>
      </w:r>
      <w:r w:rsidR="00E25108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макроикономически 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>модел</w:t>
      </w:r>
      <w:r w:rsidR="00E25108" w:rsidRPr="00497695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AC2A9C" w:rsidRPr="00497695">
        <w:rPr>
          <w:rFonts w:ascii="Times New Roman" w:hAnsi="Times New Roman" w:cs="Times New Roman"/>
          <w:sz w:val="24"/>
          <w:szCs w:val="24"/>
          <w:lang w:val="bg-BG"/>
        </w:rPr>
        <w:t>Китай</w:t>
      </w:r>
      <w:r w:rsidR="00475F72">
        <w:rPr>
          <w:rFonts w:ascii="Times New Roman" w:hAnsi="Times New Roman" w:cs="Times New Roman"/>
          <w:sz w:val="24"/>
          <w:szCs w:val="24"/>
          <w:lang w:val="bg-BG"/>
        </w:rPr>
        <w:t xml:space="preserve">. Там </w:t>
      </w:r>
      <w:r w:rsidR="00AC2A9C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правителственото регулиране е 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>много а</w:t>
      </w:r>
      <w:r w:rsidR="00AC2A9C" w:rsidRPr="00497695">
        <w:rPr>
          <w:rFonts w:ascii="Times New Roman" w:hAnsi="Times New Roman" w:cs="Times New Roman"/>
          <w:sz w:val="24"/>
          <w:szCs w:val="24"/>
          <w:lang w:val="bg-BG"/>
        </w:rPr>
        <w:t>ктивно и действа в комбинация с автоматичните пазарни механизми по начин, генериращ максимална динамика на конкурентоспособността и икономическ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ия растеж. </w:t>
      </w:r>
    </w:p>
    <w:p w:rsidR="00230497" w:rsidRPr="00497695" w:rsidRDefault="00230497" w:rsidP="00AC2A9C">
      <w:pPr>
        <w:spacing w:before="120"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За резултатите от действието на крайно неолибералния модел в България, на умерено неолибералния модел в Полша и на прагматичния модел в Китай може да се съди по статистическите показатели в таблица 1. </w:t>
      </w:r>
    </w:p>
    <w:p w:rsidR="00230497" w:rsidRPr="00497695" w:rsidRDefault="00230497" w:rsidP="00AC2A9C">
      <w:pPr>
        <w:spacing w:before="120"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230497" w:rsidRPr="00497695" w:rsidRDefault="00230497" w:rsidP="00230497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97695">
        <w:rPr>
          <w:rFonts w:ascii="Times New Roman" w:hAnsi="Times New Roman" w:cs="Times New Roman"/>
          <w:b/>
          <w:sz w:val="24"/>
          <w:szCs w:val="24"/>
          <w:lang w:val="bg-BG"/>
        </w:rPr>
        <w:t>Таблица1. Сравнение на икономическите равнища на България, Полша и Китай: 2013/1988 г.</w:t>
      </w:r>
      <w:r w:rsidRPr="00497695">
        <w:rPr>
          <w:rFonts w:ascii="Times New Roman" w:hAnsi="Times New Roman" w:cs="Times New Roman"/>
          <w:b/>
          <w:sz w:val="24"/>
          <w:szCs w:val="24"/>
          <w:vertAlign w:val="superscript"/>
          <w:lang w:val="bg-BG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6"/>
        <w:gridCol w:w="1449"/>
        <w:gridCol w:w="1163"/>
        <w:gridCol w:w="1449"/>
        <w:gridCol w:w="1190"/>
        <w:gridCol w:w="1324"/>
        <w:gridCol w:w="1225"/>
      </w:tblGrid>
      <w:tr w:rsidR="00230497" w:rsidRPr="00497695" w:rsidTr="0035183A">
        <w:tc>
          <w:tcPr>
            <w:tcW w:w="1776" w:type="dxa"/>
          </w:tcPr>
          <w:p w:rsidR="00230497" w:rsidRPr="00497695" w:rsidRDefault="00230497" w:rsidP="00230497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9769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Страни</w:t>
            </w:r>
          </w:p>
        </w:tc>
        <w:tc>
          <w:tcPr>
            <w:tcW w:w="1449" w:type="dxa"/>
          </w:tcPr>
          <w:p w:rsidR="00230497" w:rsidRPr="00497695" w:rsidRDefault="00230497" w:rsidP="002304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9769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БВП на глава</w:t>
            </w:r>
          </w:p>
          <w:p w:rsidR="00230497" w:rsidRPr="00497695" w:rsidRDefault="00230497" w:rsidP="002304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9769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от населението по ППС в US$</w:t>
            </w:r>
          </w:p>
          <w:p w:rsidR="00230497" w:rsidRPr="00497695" w:rsidRDefault="00230497" w:rsidP="002304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9769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1988</w:t>
            </w:r>
          </w:p>
        </w:tc>
        <w:tc>
          <w:tcPr>
            <w:tcW w:w="1163" w:type="dxa"/>
          </w:tcPr>
          <w:p w:rsidR="00230497" w:rsidRPr="00497695" w:rsidRDefault="00230497" w:rsidP="002304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9769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Дял в световния БВП по ППС (%)</w:t>
            </w:r>
          </w:p>
          <w:p w:rsidR="00230497" w:rsidRPr="00497695" w:rsidRDefault="00230497" w:rsidP="002304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9769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1988 г.</w:t>
            </w:r>
          </w:p>
        </w:tc>
        <w:tc>
          <w:tcPr>
            <w:tcW w:w="1449" w:type="dxa"/>
          </w:tcPr>
          <w:p w:rsidR="00230497" w:rsidRPr="00497695" w:rsidRDefault="00230497" w:rsidP="002304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9769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БВП на глава от населението по ППС в US$</w:t>
            </w:r>
          </w:p>
          <w:p w:rsidR="00230497" w:rsidRPr="00497695" w:rsidRDefault="00230497" w:rsidP="002304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9769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2013</w:t>
            </w:r>
          </w:p>
        </w:tc>
        <w:tc>
          <w:tcPr>
            <w:tcW w:w="1190" w:type="dxa"/>
          </w:tcPr>
          <w:p w:rsidR="00230497" w:rsidRPr="00497695" w:rsidRDefault="00230497" w:rsidP="002304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9769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Дял в световния БВП по ППС (%)</w:t>
            </w:r>
          </w:p>
          <w:p w:rsidR="00230497" w:rsidRPr="00497695" w:rsidRDefault="00230497" w:rsidP="002304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9769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2013 г.</w:t>
            </w:r>
          </w:p>
        </w:tc>
        <w:tc>
          <w:tcPr>
            <w:tcW w:w="1324" w:type="dxa"/>
          </w:tcPr>
          <w:p w:rsidR="00230497" w:rsidRPr="00497695" w:rsidRDefault="00230497" w:rsidP="002304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9769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БВП на глава от населението:</w:t>
            </w:r>
          </w:p>
          <w:p w:rsidR="00230497" w:rsidRPr="00497695" w:rsidRDefault="00230497" w:rsidP="002304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9769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Индекс 2013/1988</w:t>
            </w:r>
          </w:p>
        </w:tc>
        <w:tc>
          <w:tcPr>
            <w:tcW w:w="1225" w:type="dxa"/>
          </w:tcPr>
          <w:p w:rsidR="00230497" w:rsidRPr="00497695" w:rsidRDefault="00230497" w:rsidP="002304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9769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Дял в световния БВП по ППС, </w:t>
            </w:r>
          </w:p>
          <w:p w:rsidR="00230497" w:rsidRPr="00497695" w:rsidRDefault="00230497" w:rsidP="002304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9769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Индекс: 2013/1988</w:t>
            </w:r>
          </w:p>
        </w:tc>
      </w:tr>
      <w:tr w:rsidR="00230497" w:rsidRPr="00497695" w:rsidTr="0035183A">
        <w:tc>
          <w:tcPr>
            <w:tcW w:w="1776" w:type="dxa"/>
          </w:tcPr>
          <w:p w:rsidR="00230497" w:rsidRPr="00497695" w:rsidRDefault="00230497" w:rsidP="00230497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9769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България</w:t>
            </w:r>
          </w:p>
        </w:tc>
        <w:tc>
          <w:tcPr>
            <w:tcW w:w="1449" w:type="dxa"/>
          </w:tcPr>
          <w:p w:rsidR="00230497" w:rsidRPr="00497695" w:rsidRDefault="00230497" w:rsidP="002304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9769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7248,50</w:t>
            </w:r>
          </w:p>
        </w:tc>
        <w:tc>
          <w:tcPr>
            <w:tcW w:w="1163" w:type="dxa"/>
          </w:tcPr>
          <w:p w:rsidR="00230497" w:rsidRPr="00497695" w:rsidRDefault="00230497" w:rsidP="002304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9769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0,315</w:t>
            </w:r>
          </w:p>
        </w:tc>
        <w:tc>
          <w:tcPr>
            <w:tcW w:w="1449" w:type="dxa"/>
          </w:tcPr>
          <w:p w:rsidR="00230497" w:rsidRPr="00497695" w:rsidRDefault="00230497" w:rsidP="002304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9769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14870,19</w:t>
            </w:r>
          </w:p>
        </w:tc>
        <w:tc>
          <w:tcPr>
            <w:tcW w:w="1190" w:type="dxa"/>
          </w:tcPr>
          <w:p w:rsidR="00230497" w:rsidRPr="00497695" w:rsidRDefault="00230497" w:rsidP="002304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9769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0,122</w:t>
            </w:r>
          </w:p>
        </w:tc>
        <w:tc>
          <w:tcPr>
            <w:tcW w:w="1324" w:type="dxa"/>
          </w:tcPr>
          <w:p w:rsidR="00230497" w:rsidRPr="00497695" w:rsidRDefault="00230497" w:rsidP="002304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9769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205,15%</w:t>
            </w:r>
          </w:p>
        </w:tc>
        <w:tc>
          <w:tcPr>
            <w:tcW w:w="1225" w:type="dxa"/>
          </w:tcPr>
          <w:p w:rsidR="00230497" w:rsidRPr="00497695" w:rsidRDefault="00230497" w:rsidP="002304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9769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38.73%</w:t>
            </w:r>
          </w:p>
        </w:tc>
      </w:tr>
      <w:tr w:rsidR="00230497" w:rsidRPr="00497695" w:rsidTr="0035183A">
        <w:tc>
          <w:tcPr>
            <w:tcW w:w="1776" w:type="dxa"/>
          </w:tcPr>
          <w:p w:rsidR="00230497" w:rsidRPr="00497695" w:rsidRDefault="00230497" w:rsidP="00230497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9769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Полша</w:t>
            </w:r>
          </w:p>
        </w:tc>
        <w:tc>
          <w:tcPr>
            <w:tcW w:w="1449" w:type="dxa"/>
          </w:tcPr>
          <w:p w:rsidR="00230497" w:rsidRPr="00497695" w:rsidRDefault="00230497" w:rsidP="002304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9769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5687,73</w:t>
            </w:r>
          </w:p>
        </w:tc>
        <w:tc>
          <w:tcPr>
            <w:tcW w:w="1163" w:type="dxa"/>
          </w:tcPr>
          <w:p w:rsidR="00230497" w:rsidRPr="00497695" w:rsidRDefault="00230497" w:rsidP="002304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9769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1,056</w:t>
            </w:r>
          </w:p>
        </w:tc>
        <w:tc>
          <w:tcPr>
            <w:tcW w:w="1449" w:type="dxa"/>
          </w:tcPr>
          <w:p w:rsidR="00230497" w:rsidRPr="00497695" w:rsidRDefault="00230497" w:rsidP="002304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9769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21005,39</w:t>
            </w:r>
          </w:p>
        </w:tc>
        <w:tc>
          <w:tcPr>
            <w:tcW w:w="1190" w:type="dxa"/>
          </w:tcPr>
          <w:p w:rsidR="00230497" w:rsidRPr="00497695" w:rsidRDefault="00230497" w:rsidP="002304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9769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0,946</w:t>
            </w:r>
          </w:p>
        </w:tc>
        <w:tc>
          <w:tcPr>
            <w:tcW w:w="1324" w:type="dxa"/>
          </w:tcPr>
          <w:p w:rsidR="00230497" w:rsidRPr="00497695" w:rsidRDefault="00230497" w:rsidP="002304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9769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369,31%</w:t>
            </w:r>
          </w:p>
        </w:tc>
        <w:tc>
          <w:tcPr>
            <w:tcW w:w="1225" w:type="dxa"/>
          </w:tcPr>
          <w:p w:rsidR="00230497" w:rsidRPr="00497695" w:rsidRDefault="00230497" w:rsidP="002304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9769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89,58%</w:t>
            </w:r>
          </w:p>
        </w:tc>
      </w:tr>
      <w:tr w:rsidR="00230497" w:rsidRPr="00497695" w:rsidTr="0035183A">
        <w:tc>
          <w:tcPr>
            <w:tcW w:w="1776" w:type="dxa"/>
          </w:tcPr>
          <w:p w:rsidR="00230497" w:rsidRPr="00497695" w:rsidRDefault="00230497" w:rsidP="00230497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9769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Китай</w:t>
            </w:r>
          </w:p>
        </w:tc>
        <w:tc>
          <w:tcPr>
            <w:tcW w:w="1449" w:type="dxa"/>
          </w:tcPr>
          <w:p w:rsidR="00230497" w:rsidRPr="00497695" w:rsidRDefault="00230497" w:rsidP="002304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9769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703,71</w:t>
            </w:r>
          </w:p>
        </w:tc>
        <w:tc>
          <w:tcPr>
            <w:tcW w:w="1163" w:type="dxa"/>
          </w:tcPr>
          <w:p w:rsidR="00230497" w:rsidRPr="00497695" w:rsidRDefault="00230497" w:rsidP="002304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9769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3,838</w:t>
            </w:r>
          </w:p>
        </w:tc>
        <w:tc>
          <w:tcPr>
            <w:tcW w:w="1449" w:type="dxa"/>
          </w:tcPr>
          <w:p w:rsidR="00230497" w:rsidRPr="00497695" w:rsidRDefault="00230497" w:rsidP="002304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9769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10011,48</w:t>
            </w:r>
          </w:p>
        </w:tc>
        <w:tc>
          <w:tcPr>
            <w:tcW w:w="1190" w:type="dxa"/>
          </w:tcPr>
          <w:p w:rsidR="00230497" w:rsidRPr="00497695" w:rsidRDefault="00230497" w:rsidP="002304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9769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15,621</w:t>
            </w:r>
          </w:p>
        </w:tc>
        <w:tc>
          <w:tcPr>
            <w:tcW w:w="1324" w:type="dxa"/>
          </w:tcPr>
          <w:p w:rsidR="00230497" w:rsidRPr="00497695" w:rsidRDefault="00230497" w:rsidP="002304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9769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1422,67%</w:t>
            </w:r>
          </w:p>
        </w:tc>
        <w:tc>
          <w:tcPr>
            <w:tcW w:w="1225" w:type="dxa"/>
          </w:tcPr>
          <w:p w:rsidR="00230497" w:rsidRPr="00497695" w:rsidRDefault="00230497" w:rsidP="002304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9769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407,00%</w:t>
            </w:r>
          </w:p>
        </w:tc>
      </w:tr>
      <w:tr w:rsidR="00230497" w:rsidRPr="00497695" w:rsidTr="0035183A">
        <w:tc>
          <w:tcPr>
            <w:tcW w:w="1776" w:type="dxa"/>
          </w:tcPr>
          <w:p w:rsidR="00230497" w:rsidRPr="00497695" w:rsidRDefault="00230497" w:rsidP="00230497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9769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Съотношение: </w:t>
            </w:r>
          </w:p>
          <w:p w:rsidR="00230497" w:rsidRPr="00497695" w:rsidRDefault="00230497" w:rsidP="00230497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9769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Полша/България</w:t>
            </w:r>
          </w:p>
        </w:tc>
        <w:tc>
          <w:tcPr>
            <w:tcW w:w="1449" w:type="dxa"/>
          </w:tcPr>
          <w:p w:rsidR="00230497" w:rsidRPr="00497695" w:rsidRDefault="00230497" w:rsidP="002304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9769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0,78</w:t>
            </w:r>
          </w:p>
        </w:tc>
        <w:tc>
          <w:tcPr>
            <w:tcW w:w="1163" w:type="dxa"/>
          </w:tcPr>
          <w:p w:rsidR="00230497" w:rsidRPr="00497695" w:rsidRDefault="00230497" w:rsidP="002304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9769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3,35</w:t>
            </w:r>
          </w:p>
        </w:tc>
        <w:tc>
          <w:tcPr>
            <w:tcW w:w="1449" w:type="dxa"/>
          </w:tcPr>
          <w:p w:rsidR="00230497" w:rsidRPr="00497695" w:rsidRDefault="00230497" w:rsidP="002304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9769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1,41</w:t>
            </w:r>
          </w:p>
        </w:tc>
        <w:tc>
          <w:tcPr>
            <w:tcW w:w="1190" w:type="dxa"/>
          </w:tcPr>
          <w:p w:rsidR="00230497" w:rsidRPr="00497695" w:rsidRDefault="00230497" w:rsidP="002304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9769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7,75 </w:t>
            </w:r>
          </w:p>
        </w:tc>
        <w:tc>
          <w:tcPr>
            <w:tcW w:w="1324" w:type="dxa"/>
          </w:tcPr>
          <w:p w:rsidR="00230497" w:rsidRPr="00497695" w:rsidRDefault="00230497" w:rsidP="002304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25" w:type="dxa"/>
          </w:tcPr>
          <w:p w:rsidR="00230497" w:rsidRPr="00497695" w:rsidRDefault="00230497" w:rsidP="002304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230497" w:rsidRPr="00497695" w:rsidTr="0035183A">
        <w:tc>
          <w:tcPr>
            <w:tcW w:w="1776" w:type="dxa"/>
          </w:tcPr>
          <w:p w:rsidR="00230497" w:rsidRPr="00497695" w:rsidRDefault="00230497" w:rsidP="00230497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9769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Съотношение: </w:t>
            </w:r>
          </w:p>
          <w:p w:rsidR="00230497" w:rsidRPr="00497695" w:rsidRDefault="00230497" w:rsidP="00230497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9769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Китай/България</w:t>
            </w:r>
          </w:p>
        </w:tc>
        <w:tc>
          <w:tcPr>
            <w:tcW w:w="1449" w:type="dxa"/>
          </w:tcPr>
          <w:p w:rsidR="00230497" w:rsidRPr="00497695" w:rsidRDefault="00230497" w:rsidP="002304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9769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0,097</w:t>
            </w:r>
          </w:p>
        </w:tc>
        <w:tc>
          <w:tcPr>
            <w:tcW w:w="1163" w:type="dxa"/>
          </w:tcPr>
          <w:p w:rsidR="00230497" w:rsidRPr="00497695" w:rsidRDefault="00230497" w:rsidP="002304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9769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12,18</w:t>
            </w:r>
          </w:p>
        </w:tc>
        <w:tc>
          <w:tcPr>
            <w:tcW w:w="1449" w:type="dxa"/>
          </w:tcPr>
          <w:p w:rsidR="00230497" w:rsidRPr="00497695" w:rsidRDefault="00230497" w:rsidP="002304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9769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0,67</w:t>
            </w:r>
          </w:p>
        </w:tc>
        <w:tc>
          <w:tcPr>
            <w:tcW w:w="1190" w:type="dxa"/>
          </w:tcPr>
          <w:p w:rsidR="00230497" w:rsidRPr="00497695" w:rsidRDefault="00230497" w:rsidP="002304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9769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128,04</w:t>
            </w:r>
          </w:p>
        </w:tc>
        <w:tc>
          <w:tcPr>
            <w:tcW w:w="1324" w:type="dxa"/>
          </w:tcPr>
          <w:p w:rsidR="00230497" w:rsidRPr="00497695" w:rsidRDefault="00230497" w:rsidP="002304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25" w:type="dxa"/>
          </w:tcPr>
          <w:p w:rsidR="00230497" w:rsidRPr="00497695" w:rsidRDefault="00230497" w:rsidP="002304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230497" w:rsidRPr="00770178" w:rsidTr="0035183A">
        <w:tc>
          <w:tcPr>
            <w:tcW w:w="9576" w:type="dxa"/>
            <w:gridSpan w:val="7"/>
          </w:tcPr>
          <w:p w:rsidR="007B6C83" w:rsidRPr="00497695" w:rsidRDefault="00230497" w:rsidP="007B6C8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976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g-BG"/>
              </w:rPr>
              <w:t>Източник:</w:t>
            </w:r>
            <w:r w:rsidRPr="0049769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7B6C83" w:rsidRPr="0049769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http://www.economywatch.com/economic-statistics/country/Poland/</w:t>
            </w:r>
          </w:p>
          <w:p w:rsidR="007B6C83" w:rsidRPr="00497695" w:rsidRDefault="002F2A3D" w:rsidP="007B6C8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hyperlink r:id="rId9" w:history="1">
              <w:r w:rsidR="007B6C83" w:rsidRPr="00497695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bg-BG"/>
                </w:rPr>
                <w:t>http://www.economywatch.com/economic-statistics/country/Bulgaria/</w:t>
              </w:r>
            </w:hyperlink>
          </w:p>
          <w:p w:rsidR="00230497" w:rsidRPr="00497695" w:rsidRDefault="007B6C83" w:rsidP="007B6C8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9769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http://www.economywatch.com/economic-statistics/country/China/</w:t>
            </w:r>
          </w:p>
        </w:tc>
      </w:tr>
    </w:tbl>
    <w:p w:rsidR="00DE2171" w:rsidRPr="00770178" w:rsidRDefault="00DE2171" w:rsidP="00614A3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84178" w:rsidRPr="00497695" w:rsidRDefault="00384178" w:rsidP="00614A3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7695">
        <w:rPr>
          <w:rFonts w:ascii="Times New Roman" w:hAnsi="Times New Roman" w:cs="Times New Roman"/>
          <w:sz w:val="24"/>
          <w:szCs w:val="24"/>
          <w:lang w:val="bg-BG"/>
        </w:rPr>
        <w:t>Очевидно е, че най-добри са постиженията на прагматичния модел, прилаган в Китай, където в условията на прехода дел</w:t>
      </w:r>
      <w:r w:rsidR="00E25108" w:rsidRPr="00497695">
        <w:rPr>
          <w:rFonts w:ascii="Times New Roman" w:hAnsi="Times New Roman" w:cs="Times New Roman"/>
          <w:sz w:val="24"/>
          <w:szCs w:val="24"/>
          <w:lang w:val="bg-BG"/>
        </w:rPr>
        <w:t>ът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на националното стопанство в световния БВП нараства повече от 4 пъти</w:t>
      </w:r>
      <w:r w:rsidR="001758A0">
        <w:rPr>
          <w:rFonts w:ascii="Times New Roman" w:hAnsi="Times New Roman" w:cs="Times New Roman"/>
          <w:sz w:val="24"/>
          <w:szCs w:val="24"/>
          <w:lang w:val="bg-BG"/>
        </w:rPr>
        <w:t>. Б</w:t>
      </w:r>
      <w:r w:rsidR="00E25108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лагодарение на </w:t>
      </w:r>
      <w:r w:rsidR="001758A0">
        <w:rPr>
          <w:rFonts w:ascii="Times New Roman" w:hAnsi="Times New Roman" w:cs="Times New Roman"/>
          <w:sz w:val="24"/>
          <w:szCs w:val="24"/>
          <w:lang w:val="bg-BG"/>
        </w:rPr>
        <w:t xml:space="preserve">това 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Китай измества Япония </w:t>
      </w:r>
      <w:r w:rsidR="00E25108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се нарежда по този показател на второ място след САЩ. </w:t>
      </w:r>
    </w:p>
    <w:p w:rsidR="005E02A8" w:rsidRPr="00497695" w:rsidRDefault="00384178" w:rsidP="00614A3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България и Полша реализират много по-ниска динамика и намаляват дела си в световната икономика спрямо достигнатото равнище в условията на плановата икономика. Особено обезпокояващо, обаче, е изоставането на България не само спрямо Китай, </w:t>
      </w:r>
      <w:r w:rsidR="005E02A8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но и 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>спрямо Полша</w:t>
      </w:r>
      <w:r w:rsidR="005E02A8" w:rsidRPr="00497695">
        <w:rPr>
          <w:rFonts w:ascii="Times New Roman" w:hAnsi="Times New Roman" w:cs="Times New Roman"/>
          <w:sz w:val="24"/>
          <w:szCs w:val="24"/>
          <w:lang w:val="bg-BG"/>
        </w:rPr>
        <w:t>. Д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окато </w:t>
      </w:r>
      <w:r w:rsidR="005E02A8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през 1988 г. (в условията на плановата икономика) 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>делът на Полша в световния БВП е 3.35 пъти по-голям</w:t>
      </w:r>
      <w:r w:rsidR="005E02A8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от дела на България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, то през 2013 г. той е вече 7.75 пъти по-голям. Това </w:t>
      </w:r>
      <w:r w:rsidR="005E02A8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сравнение 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безспорно </w:t>
      </w:r>
      <w:r w:rsidR="005E02A8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потвърждава превъзходството на 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>прилагания в Полша икономически модел</w:t>
      </w:r>
      <w:r w:rsidR="005E02A8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35183A" w:rsidRPr="00497695">
        <w:rPr>
          <w:rFonts w:ascii="Times New Roman" w:hAnsi="Times New Roman" w:cs="Times New Roman"/>
          <w:sz w:val="24"/>
          <w:szCs w:val="24"/>
          <w:lang w:val="bg-BG"/>
        </w:rPr>
        <w:t>показва, че прилаганият в България икономически модел блокира растежа и развитието</w:t>
      </w:r>
      <w:r w:rsidR="005E02A8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. Изводът е, че </w:t>
      </w:r>
      <w:r w:rsidR="0035183A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в перспектива </w:t>
      </w:r>
      <w:r w:rsidR="005E02A8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в България </w:t>
      </w:r>
      <w:r w:rsidR="0035183A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може да </w:t>
      </w:r>
      <w:r w:rsidR="005E02A8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настъпят </w:t>
      </w:r>
      <w:r w:rsidR="0035183A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радикални изменения </w:t>
      </w:r>
      <w:r w:rsidR="005E02A8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в макроикономическата среда – смяна на „крайно неолибералния“ модел с по-успешния „балансиран модел“. </w:t>
      </w:r>
    </w:p>
    <w:p w:rsidR="0035183A" w:rsidRPr="006A1937" w:rsidRDefault="005E02A8" w:rsidP="000831E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769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Изводи за М</w:t>
      </w:r>
      <w:r w:rsidR="001D7D2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</w:t>
      </w:r>
      <w:r w:rsidRPr="0049769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БА:</w:t>
      </w:r>
      <w:r w:rsidRPr="0049769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В предметната област на </w:t>
      </w:r>
      <w:r w:rsidR="0035183A" w:rsidRPr="00497695">
        <w:rPr>
          <w:rFonts w:ascii="Times New Roman" w:hAnsi="Times New Roman" w:cs="Times New Roman"/>
          <w:sz w:val="24"/>
          <w:szCs w:val="24"/>
          <w:lang w:val="bg-BG"/>
        </w:rPr>
        <w:t>М</w:t>
      </w:r>
      <w:r w:rsidR="001D7D25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35183A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БА трябва да се наблегне върху 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учебни </w:t>
      </w:r>
      <w:r w:rsidR="0035183A" w:rsidRPr="00497695">
        <w:rPr>
          <w:rFonts w:ascii="Times New Roman" w:hAnsi="Times New Roman" w:cs="Times New Roman"/>
          <w:sz w:val="24"/>
          <w:szCs w:val="24"/>
          <w:lang w:val="bg-BG"/>
        </w:rPr>
        <w:t>курсове, анализиращи действащата бизнес среда и възможните промени в нея. Нещо повече, сравнението между динамиката на развитие и растеж в рамките на прагматичния модел (Китай)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35183A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от една страна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35183A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и в рамките на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5183A" w:rsidRPr="00497695">
        <w:rPr>
          <w:rFonts w:ascii="Times New Roman" w:hAnsi="Times New Roman" w:cs="Times New Roman"/>
          <w:sz w:val="24"/>
          <w:szCs w:val="24"/>
          <w:lang w:val="bg-BG"/>
        </w:rPr>
        <w:t>умерен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ия </w:t>
      </w:r>
      <w:r w:rsidR="0035183A" w:rsidRPr="00497695">
        <w:rPr>
          <w:rFonts w:ascii="Times New Roman" w:hAnsi="Times New Roman" w:cs="Times New Roman"/>
          <w:sz w:val="24"/>
          <w:szCs w:val="24"/>
          <w:lang w:val="bg-BG"/>
        </w:rPr>
        <w:t>и крайно неолибералния модел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35183A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(Полша и България)</w:t>
      </w:r>
      <w:r w:rsidR="00BC5F54" w:rsidRPr="0049769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35183A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C5F54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демонстрира </w:t>
      </w:r>
      <w:r w:rsidR="0035183A" w:rsidRPr="00497695">
        <w:rPr>
          <w:rFonts w:ascii="Times New Roman" w:hAnsi="Times New Roman" w:cs="Times New Roman"/>
          <w:sz w:val="24"/>
          <w:szCs w:val="24"/>
          <w:lang w:val="bg-BG"/>
        </w:rPr>
        <w:t>превъзходството на първия</w:t>
      </w:r>
      <w:r w:rsidR="00BC5F54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модел. Едновременно с това, то навежда на мисълта, че интеграционният модел на ЕС </w:t>
      </w:r>
      <w:r w:rsidR="0035183A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не създава условия за </w:t>
      </w:r>
      <w:r w:rsidR="00BC5F54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достатъчно </w:t>
      </w:r>
      <w:r w:rsidR="0035183A" w:rsidRPr="00497695">
        <w:rPr>
          <w:rFonts w:ascii="Times New Roman" w:hAnsi="Times New Roman" w:cs="Times New Roman"/>
          <w:sz w:val="24"/>
          <w:szCs w:val="24"/>
          <w:lang w:val="bg-BG"/>
        </w:rPr>
        <w:t>динамичен икономически растеж</w:t>
      </w:r>
      <w:r w:rsidR="00BC5F54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, т.е. за догонващ растеж в </w:t>
      </w:r>
      <w:proofErr w:type="spellStart"/>
      <w:r w:rsidR="00BC5F54" w:rsidRPr="00497695">
        <w:rPr>
          <w:rFonts w:ascii="Times New Roman" w:hAnsi="Times New Roman" w:cs="Times New Roman"/>
          <w:sz w:val="24"/>
          <w:szCs w:val="24"/>
          <w:lang w:val="bg-BG"/>
        </w:rPr>
        <w:t>нискодоходните</w:t>
      </w:r>
      <w:proofErr w:type="spellEnd"/>
      <w:r w:rsidR="00BC5F54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страни, каквито всъщност са новоприсъединилите се </w:t>
      </w:r>
      <w:r w:rsidR="00614A3C">
        <w:rPr>
          <w:rFonts w:ascii="Times New Roman" w:hAnsi="Times New Roman" w:cs="Times New Roman"/>
          <w:sz w:val="24"/>
          <w:szCs w:val="24"/>
          <w:lang w:val="bg-BG"/>
        </w:rPr>
        <w:t xml:space="preserve">към Съюза </w:t>
      </w:r>
      <w:r w:rsidR="00BC5F54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страни. </w:t>
      </w:r>
      <w:r w:rsidR="0035183A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Нещо повече, в периода на Голямата рецесия този модел показа редица дефекти, пренасяйки тежестта на кризата върху периферните икономики в </w:t>
      </w:r>
      <w:r w:rsidR="00BC5F54" w:rsidRPr="00497695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35183A" w:rsidRPr="00497695">
        <w:rPr>
          <w:rFonts w:ascii="Times New Roman" w:hAnsi="Times New Roman" w:cs="Times New Roman"/>
          <w:sz w:val="24"/>
          <w:szCs w:val="24"/>
          <w:lang w:val="bg-BG"/>
        </w:rPr>
        <w:t>врозоната и извън не</w:t>
      </w:r>
      <w:r w:rsidR="00BC5F54" w:rsidRPr="00497695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35183A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. Достатъчно е да споменем, че и понастоящем безработицата в страните от ядрото на ЕС (Германия, Австрия) е около 5%, докато в страните от периферията (Гърция, Испания) е на нива от периода на Голямата депресия – 26-27%! </w:t>
      </w:r>
      <w:r w:rsidR="00BC5F54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Всичко това </w:t>
      </w:r>
      <w:r w:rsidR="004F061C" w:rsidRPr="00497695">
        <w:rPr>
          <w:rFonts w:ascii="Times New Roman" w:hAnsi="Times New Roman" w:cs="Times New Roman"/>
          <w:sz w:val="24"/>
          <w:szCs w:val="24"/>
          <w:lang w:val="bg-BG"/>
        </w:rPr>
        <w:t>означава, че предстоят (или са жизнено необходими) фундаментални изменения в интеграционната архитектура на ЕС. В същата плоскост стоят и въпросите, каса</w:t>
      </w:r>
      <w:r w:rsidR="00BC5F54" w:rsidRPr="00497695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4F061C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щи съдбата на крайно неолибералния модел в България с неговото ядро – </w:t>
      </w:r>
      <w:r w:rsidR="00BC5F54" w:rsidRPr="00497695">
        <w:rPr>
          <w:rFonts w:ascii="Times New Roman" w:hAnsi="Times New Roman" w:cs="Times New Roman"/>
          <w:sz w:val="24"/>
          <w:szCs w:val="24"/>
          <w:lang w:val="bg-BG"/>
        </w:rPr>
        <w:t>паричния съвет</w:t>
      </w:r>
      <w:r w:rsidR="006E1735">
        <w:rPr>
          <w:rFonts w:ascii="Times New Roman" w:hAnsi="Times New Roman" w:cs="Times New Roman"/>
          <w:sz w:val="24"/>
          <w:szCs w:val="24"/>
          <w:lang w:val="bg-BG"/>
        </w:rPr>
        <w:t xml:space="preserve"> и данъчната система</w:t>
      </w:r>
      <w:r w:rsidR="004F061C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, както и </w:t>
      </w:r>
      <w:r w:rsidR="004F061C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проблемите около присъединяването на България към </w:t>
      </w:r>
      <w:r w:rsidR="00BC5F54" w:rsidRPr="006A1937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4F061C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врозоната. </w:t>
      </w:r>
    </w:p>
    <w:p w:rsidR="00D34687" w:rsidRPr="006A1937" w:rsidRDefault="00BC5F54" w:rsidP="000831E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937">
        <w:rPr>
          <w:rFonts w:ascii="Times New Roman" w:hAnsi="Times New Roman" w:cs="Times New Roman"/>
          <w:sz w:val="24"/>
          <w:szCs w:val="24"/>
          <w:lang w:val="bg-BG"/>
        </w:rPr>
        <w:lastRenderedPageBreak/>
        <w:t>Следователно, целесъобразно е</w:t>
      </w:r>
      <w:r w:rsidR="00D34687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 в предметната област на М</w:t>
      </w:r>
      <w:r w:rsidR="001D7D25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D34687" w:rsidRPr="006A1937">
        <w:rPr>
          <w:rFonts w:ascii="Times New Roman" w:hAnsi="Times New Roman" w:cs="Times New Roman"/>
          <w:sz w:val="24"/>
          <w:szCs w:val="24"/>
          <w:lang w:val="bg-BG"/>
        </w:rPr>
        <w:t>БА:</w:t>
      </w:r>
    </w:p>
    <w:p w:rsidR="00614A3C" w:rsidRPr="006A1937" w:rsidRDefault="00D34687" w:rsidP="000831E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първо, </w:t>
      </w:r>
      <w:r w:rsidR="00BC5F54" w:rsidRPr="006A1937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5367D2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а се включват 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допълнителни </w:t>
      </w:r>
      <w:r w:rsidR="005367D2" w:rsidRPr="006A1937">
        <w:rPr>
          <w:rFonts w:ascii="Times New Roman" w:hAnsi="Times New Roman" w:cs="Times New Roman"/>
          <w:sz w:val="24"/>
          <w:szCs w:val="24"/>
          <w:lang w:val="bg-BG"/>
        </w:rPr>
        <w:t>курсове и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ли да се актуализират действащите курсове в посока на по-задълбочен анализ на състоянието и перспективите за изменение и подобряване на макроикономическата среда (бизнес средата) в България чрез прилагане на успешния опит в страните с балансирани и прагматично-ориентирани икономически модели. </w:t>
      </w:r>
    </w:p>
    <w:p w:rsidR="008342D8" w:rsidRPr="00497695" w:rsidRDefault="00D34687" w:rsidP="000831E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937">
        <w:rPr>
          <w:rFonts w:ascii="Times New Roman" w:hAnsi="Times New Roman" w:cs="Times New Roman"/>
          <w:sz w:val="24"/>
          <w:szCs w:val="24"/>
          <w:lang w:val="bg-BG"/>
        </w:rPr>
        <w:t>второ,</w:t>
      </w:r>
      <w:r w:rsidR="005367D2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5367D2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а се включи специализация по „европейска интеграция“, в която да се анализират възможните промени в модела на европейската интеграция и най-ефективните пътища за 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реална конвергенция на </w:t>
      </w:r>
      <w:r w:rsidR="005367D2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България </w:t>
      </w:r>
      <w:r w:rsidR="00334718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>икономическата система на ЕС.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342D8" w:rsidRPr="000831E9" w:rsidRDefault="008342D8" w:rsidP="000831E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831E9">
        <w:rPr>
          <w:rFonts w:ascii="Times New Roman" w:hAnsi="Times New Roman" w:cs="Times New Roman"/>
          <w:b/>
          <w:sz w:val="24"/>
          <w:szCs w:val="24"/>
          <w:lang w:val="bg-BG"/>
        </w:rPr>
        <w:t>2.3 Позициониран</w:t>
      </w:r>
      <w:r w:rsidR="00D34687" w:rsidRPr="000831E9">
        <w:rPr>
          <w:rFonts w:ascii="Times New Roman" w:hAnsi="Times New Roman" w:cs="Times New Roman"/>
          <w:b/>
          <w:sz w:val="24"/>
          <w:szCs w:val="24"/>
          <w:lang w:val="bg-BG"/>
        </w:rPr>
        <w:t>е</w:t>
      </w:r>
      <w:r w:rsidRPr="000831E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България по показателите за конкурентоспособност </w:t>
      </w:r>
    </w:p>
    <w:p w:rsidR="009850BB" w:rsidRPr="000831E9" w:rsidRDefault="009850BB" w:rsidP="000831E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0831E9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2.3.1 Относно двигателите на развитието и конкурентоспособността в условията на </w:t>
      </w:r>
      <w:proofErr w:type="spellStart"/>
      <w:r w:rsidRPr="000831E9">
        <w:rPr>
          <w:rFonts w:ascii="Times New Roman" w:hAnsi="Times New Roman" w:cs="Times New Roman"/>
          <w:b/>
          <w:i/>
          <w:sz w:val="24"/>
          <w:szCs w:val="24"/>
          <w:lang w:val="bg-BG"/>
        </w:rPr>
        <w:t>факторно-базирания</w:t>
      </w:r>
      <w:proofErr w:type="spellEnd"/>
      <w:r w:rsidRPr="000831E9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стадий</w:t>
      </w:r>
    </w:p>
    <w:p w:rsidR="00E16F3A" w:rsidRPr="00497695" w:rsidRDefault="005367D2" w:rsidP="000831E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7695">
        <w:rPr>
          <w:rFonts w:ascii="Times New Roman" w:hAnsi="Times New Roman" w:cs="Times New Roman"/>
          <w:sz w:val="24"/>
          <w:szCs w:val="24"/>
          <w:lang w:val="bg-BG"/>
        </w:rPr>
        <w:t>В Доклада за глобалната конкурентоспособност България е позиционирана сред страните, намиращи се на втория стадий</w:t>
      </w:r>
      <w:r w:rsidR="00D34687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на развитие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2A7C89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Прави впечатление, обаче, че </w:t>
      </w:r>
      <w:r w:rsidR="00AC2A9C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България </w:t>
      </w:r>
      <w:r w:rsidR="00B73B09" w:rsidRPr="00497695">
        <w:rPr>
          <w:rFonts w:ascii="Times New Roman" w:hAnsi="Times New Roman" w:cs="Times New Roman"/>
          <w:sz w:val="24"/>
          <w:szCs w:val="24"/>
          <w:lang w:val="bg-BG"/>
        </w:rPr>
        <w:t>бележи голямо изоставане в използването на „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>двигателите на развитието</w:t>
      </w:r>
      <w:r w:rsidR="00B73B09" w:rsidRPr="00497695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73B09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присъщи на 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>предшестващия „</w:t>
      </w:r>
      <w:proofErr w:type="spellStart"/>
      <w:r w:rsidRPr="00497695">
        <w:rPr>
          <w:rFonts w:ascii="Times New Roman" w:hAnsi="Times New Roman" w:cs="Times New Roman"/>
          <w:sz w:val="24"/>
          <w:szCs w:val="24"/>
          <w:lang w:val="bg-BG"/>
        </w:rPr>
        <w:t>факторно-насочен</w:t>
      </w:r>
      <w:proofErr w:type="spellEnd"/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“ стадий. </w:t>
      </w:r>
      <w:r w:rsidR="00E16F3A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Например, в твърде значимата </w:t>
      </w:r>
      <w:r w:rsidR="00B73B09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за първия стълб </w:t>
      </w:r>
      <w:r w:rsidR="00E16F3A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област „Институции“ </w:t>
      </w:r>
      <w:r w:rsidR="00AC2A9C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България </w:t>
      </w:r>
      <w:r w:rsidR="00E16F3A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заема </w:t>
      </w:r>
      <w:r w:rsidR="00AC2A9C" w:rsidRPr="00497695">
        <w:rPr>
          <w:rFonts w:ascii="Times New Roman" w:hAnsi="Times New Roman" w:cs="Times New Roman"/>
          <w:sz w:val="24"/>
          <w:szCs w:val="24"/>
          <w:lang w:val="bg-BG"/>
        </w:rPr>
        <w:t>107</w:t>
      </w:r>
      <w:r w:rsidR="00E16F3A" w:rsidRPr="00497695">
        <w:rPr>
          <w:rFonts w:ascii="Times New Roman" w:hAnsi="Times New Roman" w:cs="Times New Roman"/>
          <w:sz w:val="24"/>
          <w:szCs w:val="24"/>
          <w:lang w:val="bg-BG"/>
        </w:rPr>
        <w:t>-о</w:t>
      </w:r>
      <w:r w:rsidR="00AC2A9C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място</w:t>
      </w:r>
      <w:r w:rsidR="00B73B09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AC2A9C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Китай </w:t>
      </w:r>
      <w:r w:rsidR="00E16F3A" w:rsidRPr="00497695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AC2A9C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47</w:t>
      </w:r>
      <w:r w:rsidR="00E16F3A" w:rsidRPr="00497695">
        <w:rPr>
          <w:rFonts w:ascii="Times New Roman" w:hAnsi="Times New Roman" w:cs="Times New Roman"/>
          <w:sz w:val="24"/>
          <w:szCs w:val="24"/>
          <w:lang w:val="bg-BG"/>
        </w:rPr>
        <w:t>-о</w:t>
      </w:r>
      <w:r w:rsidR="00AC2A9C" w:rsidRPr="00497695">
        <w:rPr>
          <w:rFonts w:ascii="Times New Roman" w:hAnsi="Times New Roman" w:cs="Times New Roman"/>
          <w:sz w:val="24"/>
          <w:szCs w:val="24"/>
          <w:lang w:val="bg-BG"/>
        </w:rPr>
        <w:t>, Полша – 62</w:t>
      </w:r>
      <w:r w:rsidR="00E16F3A" w:rsidRPr="00497695">
        <w:rPr>
          <w:rFonts w:ascii="Times New Roman" w:hAnsi="Times New Roman" w:cs="Times New Roman"/>
          <w:sz w:val="24"/>
          <w:szCs w:val="24"/>
          <w:lang w:val="bg-BG"/>
        </w:rPr>
        <w:t>-ро</w:t>
      </w:r>
      <w:r w:rsidR="00AC2A9C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, Чехия </w:t>
      </w:r>
      <w:r w:rsidR="00E16F3A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="00AC2A9C" w:rsidRPr="00497695">
        <w:rPr>
          <w:rFonts w:ascii="Times New Roman" w:hAnsi="Times New Roman" w:cs="Times New Roman"/>
          <w:sz w:val="24"/>
          <w:szCs w:val="24"/>
          <w:lang w:val="bg-BG"/>
        </w:rPr>
        <w:t>86</w:t>
      </w:r>
      <w:r w:rsidR="00E16F3A" w:rsidRPr="00497695">
        <w:rPr>
          <w:rFonts w:ascii="Times New Roman" w:hAnsi="Times New Roman" w:cs="Times New Roman"/>
          <w:sz w:val="24"/>
          <w:szCs w:val="24"/>
          <w:lang w:val="bg-BG"/>
        </w:rPr>
        <w:t>-о</w:t>
      </w:r>
      <w:r w:rsidR="00B73B09" w:rsidRPr="00497695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AC2A9C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9850BB" w:rsidRPr="00497695" w:rsidRDefault="00AC2A9C" w:rsidP="000831E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Ключови </w:t>
      </w:r>
      <w:r w:rsidR="00E16F3A" w:rsidRPr="00497695">
        <w:rPr>
          <w:rFonts w:ascii="Times New Roman" w:hAnsi="Times New Roman" w:cs="Times New Roman"/>
          <w:sz w:val="24"/>
          <w:szCs w:val="24"/>
          <w:lang w:val="bg-BG"/>
        </w:rPr>
        <w:t>сфери на изоставане в тази област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, имащи отношение към предметната област на програма МБА, са „Защита на правата на интелектуална собственост“ (104 място) </w:t>
      </w:r>
      <w:r w:rsidR="00B73B09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>„Ефективност на публичните институции за уреждане на спорове“ (125 място).</w:t>
      </w:r>
    </w:p>
    <w:p w:rsidR="00E16F3A" w:rsidRPr="00497695" w:rsidRDefault="009850BB" w:rsidP="000831E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769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Изводи за </w:t>
      </w:r>
      <w:r w:rsidR="000831E9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М</w:t>
      </w:r>
      <w:r w:rsidR="001D7D2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</w:t>
      </w:r>
      <w:r w:rsidR="000831E9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БА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: названията на тези сфери на изоставане могат да послужат и като названия на курсове, които трябва да бъдат включени в </w:t>
      </w:r>
      <w:r w:rsidR="000831E9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рограмата. </w:t>
      </w:r>
      <w:r w:rsidR="00AC2A9C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16F3A" w:rsidRPr="00497695" w:rsidRDefault="00AC2A9C" w:rsidP="000831E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Особено тежка е </w:t>
      </w:r>
      <w:r w:rsidR="000831E9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>ситуацията в области</w:t>
      </w:r>
      <w:r w:rsidR="00E16F3A" w:rsidRPr="00497695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„Загуби на бизнеса от тероризъм“ (107), „Загуби на бизнеса от престъпления и насилие“ (108 място)</w:t>
      </w:r>
      <w:r w:rsidR="00E16F3A" w:rsidRPr="0049769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„Организирана престъпност“ (130 място), „Бизнес етика“ (110 място), „Защита на интересите на миноритарните собственици“ (99 място). </w:t>
      </w:r>
    </w:p>
    <w:p w:rsidR="00AC2A9C" w:rsidRDefault="00E16F3A" w:rsidP="000831E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769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Изводи за М</w:t>
      </w:r>
      <w:r w:rsidR="008E5CCF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</w:t>
      </w:r>
      <w:r w:rsidRPr="0049769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БА: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целесъобразно е в нея да се въведе специализация в обл</w:t>
      </w:r>
      <w:r w:rsidR="00AC2A9C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астта на </w:t>
      </w:r>
      <w:r w:rsidR="00AC2A9C" w:rsidRPr="00334718">
        <w:rPr>
          <w:rFonts w:ascii="Times New Roman" w:hAnsi="Times New Roman" w:cs="Times New Roman"/>
          <w:b/>
          <w:i/>
          <w:sz w:val="24"/>
          <w:szCs w:val="24"/>
          <w:lang w:val="bg-BG"/>
        </w:rPr>
        <w:t>фирмената сигурност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>. Като пример в това отношение може да се ползва магистърска програма „Управление на фирмената сигурност“</w:t>
      </w:r>
      <w:r w:rsidR="00B73B09" w:rsidRPr="0049769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73B09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преподавана 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в стопанска академия „Д.А. </w:t>
      </w:r>
      <w:proofErr w:type="spellStart"/>
      <w:r w:rsidRPr="00497695">
        <w:rPr>
          <w:rFonts w:ascii="Times New Roman" w:hAnsi="Times New Roman" w:cs="Times New Roman"/>
          <w:sz w:val="24"/>
          <w:szCs w:val="24"/>
          <w:lang w:val="bg-BG"/>
        </w:rPr>
        <w:t>Ценов</w:t>
      </w:r>
      <w:proofErr w:type="spellEnd"/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“, Свищов. </w:t>
      </w:r>
      <w:r w:rsidR="00AC2A9C" w:rsidRPr="00497695">
        <w:rPr>
          <w:rFonts w:ascii="Times New Roman" w:hAnsi="Times New Roman" w:cs="Times New Roman"/>
          <w:bCs/>
          <w:sz w:val="24"/>
          <w:szCs w:val="24"/>
          <w:lang w:val="bg-BG"/>
        </w:rPr>
        <w:t>В нея</w:t>
      </w:r>
      <w:r w:rsidRPr="0049769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C2A9C" w:rsidRPr="00497695">
        <w:rPr>
          <w:rFonts w:ascii="Times New Roman" w:hAnsi="Times New Roman" w:cs="Times New Roman"/>
          <w:bCs/>
          <w:sz w:val="24"/>
          <w:szCs w:val="24"/>
          <w:lang w:val="bg-BG"/>
        </w:rPr>
        <w:t>са включени подходящи за целта</w:t>
      </w:r>
      <w:r w:rsidR="009850BB" w:rsidRPr="0049769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курсове, като</w:t>
      </w:r>
      <w:r w:rsidR="00AC2A9C" w:rsidRPr="0049769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: </w:t>
      </w:r>
      <w:r w:rsidR="00AC2A9C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“Управление на фирмената сигурност”</w:t>
      </w:r>
      <w:r w:rsidR="009850BB" w:rsidRPr="0049769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AC2A9C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“Анализ и диагностика на сигурността”</w:t>
      </w:r>
      <w:r w:rsidR="009850BB" w:rsidRPr="0049769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AC2A9C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“Бизнес</w:t>
      </w:r>
      <w:r w:rsidR="009850BB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C2A9C" w:rsidRPr="00497695">
        <w:rPr>
          <w:rFonts w:ascii="Times New Roman" w:hAnsi="Times New Roman" w:cs="Times New Roman"/>
          <w:sz w:val="24"/>
          <w:szCs w:val="24"/>
          <w:lang w:val="bg-BG"/>
        </w:rPr>
        <w:t>разузнаване и инвестиции в сигурността”</w:t>
      </w:r>
      <w:r w:rsidR="009850BB" w:rsidRPr="0049769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AC2A9C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“Управление и защита на информационните ресурси”</w:t>
      </w:r>
      <w:r w:rsidR="009850BB" w:rsidRPr="0049769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AC2A9C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“Фирмена сигурност и интернет информационни системи”</w:t>
      </w:r>
      <w:r w:rsidR="009850BB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и т.н.</w:t>
      </w:r>
      <w:r w:rsidR="00AC2A9C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831E9" w:rsidRDefault="000831E9" w:rsidP="00AC2A9C">
      <w:pPr>
        <w:spacing w:before="120"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9850BB" w:rsidRPr="000831E9" w:rsidRDefault="009850BB" w:rsidP="00AC2A9C">
      <w:pPr>
        <w:spacing w:before="120" w:after="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0831E9">
        <w:rPr>
          <w:rFonts w:ascii="Times New Roman" w:hAnsi="Times New Roman" w:cs="Times New Roman"/>
          <w:b/>
          <w:i/>
          <w:sz w:val="24"/>
          <w:szCs w:val="24"/>
          <w:lang w:val="bg-BG"/>
        </w:rPr>
        <w:t>2.3.2 Относно двигателите на развитие през стадия на нарастващата ефективност</w:t>
      </w:r>
    </w:p>
    <w:p w:rsidR="00AC2A9C" w:rsidRPr="00497695" w:rsidRDefault="00AC2A9C" w:rsidP="000831E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В стадия, на който </w:t>
      </w:r>
      <w:r w:rsidR="000831E9">
        <w:rPr>
          <w:rFonts w:ascii="Times New Roman" w:hAnsi="Times New Roman" w:cs="Times New Roman"/>
          <w:sz w:val="24"/>
          <w:szCs w:val="24"/>
          <w:lang w:val="bg-BG"/>
        </w:rPr>
        <w:t xml:space="preserve">сега 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>се намира</w:t>
      </w:r>
      <w:r w:rsidR="000831E9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България изостава </w:t>
      </w:r>
      <w:r w:rsidR="009850BB" w:rsidRPr="00497695">
        <w:rPr>
          <w:rFonts w:ascii="Times New Roman" w:hAnsi="Times New Roman" w:cs="Times New Roman"/>
          <w:sz w:val="24"/>
          <w:szCs w:val="24"/>
          <w:lang w:val="bg-BG"/>
        </w:rPr>
        <w:t>в а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ктивизирането на </w:t>
      </w:r>
      <w:r w:rsidR="009850BB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ключови </w:t>
      </w:r>
      <w:r w:rsidR="00B73B09" w:rsidRPr="00497695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9850BB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енератори на ефективността 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>(</w:t>
      </w:r>
      <w:proofErr w:type="spellStart"/>
      <w:r w:rsidRPr="00497695">
        <w:rPr>
          <w:rFonts w:ascii="Times New Roman" w:hAnsi="Times New Roman" w:cs="Times New Roman"/>
          <w:sz w:val="24"/>
          <w:szCs w:val="24"/>
          <w:lang w:val="bg-BG"/>
        </w:rPr>
        <w:t>efficiency</w:t>
      </w:r>
      <w:proofErr w:type="spellEnd"/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497695">
        <w:rPr>
          <w:rFonts w:ascii="Times New Roman" w:hAnsi="Times New Roman" w:cs="Times New Roman"/>
          <w:sz w:val="24"/>
          <w:szCs w:val="24"/>
          <w:lang w:val="bg-BG"/>
        </w:rPr>
        <w:t>enhancers</w:t>
      </w:r>
      <w:proofErr w:type="spellEnd"/>
      <w:r w:rsidRPr="00497695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9850BB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Това изоставане ще </w:t>
      </w:r>
      <w:r w:rsidR="00B73B09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бъде 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препятствие 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пред преминаването </w:t>
      </w:r>
      <w:r w:rsidR="00B73B09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на икономиката в 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>следващия стадий</w:t>
      </w:r>
      <w:r w:rsidR="009850BB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73B09" w:rsidRPr="00497695">
        <w:rPr>
          <w:rFonts w:ascii="Times New Roman" w:hAnsi="Times New Roman" w:cs="Times New Roman"/>
          <w:sz w:val="24"/>
          <w:szCs w:val="24"/>
          <w:lang w:val="bg-BG"/>
        </w:rPr>
        <w:t>– „</w:t>
      </w:r>
      <w:r w:rsidR="009850BB" w:rsidRPr="00497695">
        <w:rPr>
          <w:rFonts w:ascii="Times New Roman" w:hAnsi="Times New Roman" w:cs="Times New Roman"/>
          <w:sz w:val="24"/>
          <w:szCs w:val="24"/>
          <w:lang w:val="bg-BG"/>
        </w:rPr>
        <w:t>преход към иновативно развитие</w:t>
      </w:r>
      <w:r w:rsidR="00B73B09" w:rsidRPr="00497695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9850BB" w:rsidRPr="00497695">
        <w:rPr>
          <w:rFonts w:ascii="Times New Roman" w:hAnsi="Times New Roman" w:cs="Times New Roman"/>
          <w:sz w:val="24"/>
          <w:szCs w:val="24"/>
          <w:lang w:val="bg-BG"/>
        </w:rPr>
        <w:t>По отношение активирането на генераторите на ефективността</w:t>
      </w:r>
      <w:r w:rsidR="00B73B09" w:rsidRPr="0049769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9850BB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като цяло</w:t>
      </w:r>
      <w:r w:rsidR="00B73B09" w:rsidRPr="0049769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9850BB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България 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заема 60 място (Китай – 31 място, Полша- 32 място, Чешката република – 37 място, Литва – 47 място). </w:t>
      </w:r>
      <w:r w:rsidR="002F50E6" w:rsidRPr="00497695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ай-голямо </w:t>
      </w:r>
      <w:r w:rsidR="002F50E6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>изоставане</w:t>
      </w:r>
      <w:r w:rsidR="002F50E6" w:rsidRPr="00497695">
        <w:rPr>
          <w:rFonts w:ascii="Times New Roman" w:hAnsi="Times New Roman" w:cs="Times New Roman"/>
          <w:sz w:val="24"/>
          <w:szCs w:val="24"/>
          <w:lang w:val="bg-BG"/>
        </w:rPr>
        <w:t>то по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F50E6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индикаторите в 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>6-ти стълб „Ефективност на продуктовите пазари“ (81 място)</w:t>
      </w:r>
      <w:r w:rsidR="009850BB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>8-и стълб „Развитие на финансовите пазари“</w:t>
      </w:r>
      <w:r w:rsidR="000831E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(73 място). </w:t>
      </w:r>
    </w:p>
    <w:p w:rsidR="002F50E6" w:rsidRPr="000831E9" w:rsidRDefault="00AC2A9C" w:rsidP="000831E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497695">
        <w:rPr>
          <w:rFonts w:ascii="Times New Roman" w:hAnsi="Times New Roman" w:cs="Times New Roman"/>
          <w:b/>
          <w:sz w:val="24"/>
          <w:szCs w:val="24"/>
          <w:lang w:val="bg-BG"/>
        </w:rPr>
        <w:t>В рамките на 6-ти стълб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особено тревожно е състоянието в област „Интензивност на локалната конкуренция</w:t>
      </w:r>
      <w:r w:rsidR="002F50E6" w:rsidRPr="00497695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(101 място), „Степен на пазарно доминиране“ (120 място), „Ефективност на </w:t>
      </w:r>
      <w:proofErr w:type="spellStart"/>
      <w:r w:rsidRPr="00497695">
        <w:rPr>
          <w:rFonts w:ascii="Times New Roman" w:hAnsi="Times New Roman" w:cs="Times New Roman"/>
          <w:sz w:val="24"/>
          <w:szCs w:val="24"/>
          <w:lang w:val="bg-BG"/>
        </w:rPr>
        <w:t>анти-монополната</w:t>
      </w:r>
      <w:proofErr w:type="spellEnd"/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политика“ (126 място), „Отражение на данъчното облагане върху стимулите за инвестиране“ (103 място). </w:t>
      </w:r>
      <w:r w:rsidR="002F50E6" w:rsidRPr="000831E9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В тези сфери се проявява един от най-големите провали на крайно неолибералния модел в българската икономика - има се предвид прекомерната монополизация, предизвикваща остро социално напрежение </w:t>
      </w:r>
      <w:r w:rsidR="000E1841" w:rsidRPr="000831E9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и масови протести </w:t>
      </w:r>
      <w:r w:rsidR="002F50E6" w:rsidRPr="000831E9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от началото на 2013 г. </w:t>
      </w:r>
    </w:p>
    <w:p w:rsidR="000831E9" w:rsidRPr="006A1937" w:rsidRDefault="002F50E6" w:rsidP="000831E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937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Изводи за </w:t>
      </w:r>
      <w:r w:rsidR="000831E9" w:rsidRPr="006A1937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</w:t>
      </w:r>
      <w:r w:rsidRPr="006A1937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рограмата</w:t>
      </w:r>
      <w:r w:rsidRPr="006A1937">
        <w:rPr>
          <w:rFonts w:ascii="Times New Roman" w:hAnsi="Times New Roman" w:cs="Times New Roman"/>
          <w:b/>
          <w:sz w:val="24"/>
          <w:szCs w:val="24"/>
          <w:lang w:val="bg-BG"/>
        </w:rPr>
        <w:t xml:space="preserve">: 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трябва да се положат усилия за подобряване на обучението </w:t>
      </w:r>
      <w:r w:rsidR="000E1841" w:rsidRPr="006A1937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 курсове като </w:t>
      </w:r>
      <w:r w:rsidR="00AC2A9C" w:rsidRPr="006A1937">
        <w:rPr>
          <w:rFonts w:ascii="Times New Roman" w:hAnsi="Times New Roman" w:cs="Times New Roman"/>
          <w:sz w:val="24"/>
          <w:szCs w:val="24"/>
          <w:lang w:val="bg-BG"/>
        </w:rPr>
        <w:t>„Правна защита на конкуренцията“, „Защита на потребителите“, „Икономика за мениджъри“, „Индустриална икономика“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, както и </w:t>
      </w:r>
      <w:r w:rsidR="000E1841" w:rsidRPr="006A1937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 курсове, </w:t>
      </w:r>
      <w:r w:rsidR="00AC2A9C" w:rsidRPr="006A1937">
        <w:rPr>
          <w:rFonts w:ascii="Times New Roman" w:hAnsi="Times New Roman" w:cs="Times New Roman"/>
          <w:sz w:val="24"/>
          <w:szCs w:val="24"/>
          <w:lang w:val="bg-BG"/>
        </w:rPr>
        <w:t>анализиращи европейските механизми и норми за защита на конкуренцията.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A1937">
        <w:rPr>
          <w:rFonts w:ascii="Times New Roman" w:hAnsi="Times New Roman" w:cs="Times New Roman"/>
          <w:b/>
          <w:i/>
          <w:sz w:val="24"/>
          <w:szCs w:val="24"/>
          <w:lang w:val="bg-BG"/>
        </w:rPr>
        <w:t>В тази сфера стои и въпросът за социално-отговорното интерпретиране на ползата от притока на чуждестранни преки инвестиции и тяхната двойствена роля</w:t>
      </w:r>
      <w:r w:rsidR="000E1841" w:rsidRPr="006A1937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: от една страна </w:t>
      </w:r>
      <w:r w:rsidRPr="006A1937">
        <w:rPr>
          <w:rFonts w:ascii="Times New Roman" w:hAnsi="Times New Roman" w:cs="Times New Roman"/>
          <w:b/>
          <w:i/>
          <w:sz w:val="24"/>
          <w:szCs w:val="24"/>
          <w:lang w:val="bg-BG"/>
        </w:rPr>
        <w:t>– като фактор за догонващо развитие на икономиката</w:t>
      </w:r>
      <w:r w:rsidR="000E1841" w:rsidRPr="006A1937">
        <w:rPr>
          <w:rFonts w:ascii="Times New Roman" w:hAnsi="Times New Roman" w:cs="Times New Roman"/>
          <w:b/>
          <w:i/>
          <w:sz w:val="24"/>
          <w:szCs w:val="24"/>
          <w:lang w:val="bg-BG"/>
        </w:rPr>
        <w:t>, но от друга страна -</w:t>
      </w:r>
      <w:r w:rsidRPr="006A1937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и като фактор за нейната ускорена монополизация и намаляваща ефективност и социална устойчивост.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F79BE" w:rsidRPr="00497695" w:rsidRDefault="00AC2A9C" w:rsidP="000831E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937">
        <w:rPr>
          <w:rFonts w:ascii="Times New Roman" w:hAnsi="Times New Roman" w:cs="Times New Roman"/>
          <w:b/>
          <w:sz w:val="24"/>
          <w:szCs w:val="24"/>
          <w:lang w:val="bg-BG"/>
        </w:rPr>
        <w:t>В рамките на 7-и стълб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 „Ефективност на пазара на труда“ </w:t>
      </w:r>
      <w:r w:rsidR="000E1841" w:rsidRPr="006A1937">
        <w:rPr>
          <w:rFonts w:ascii="Times New Roman" w:hAnsi="Times New Roman" w:cs="Times New Roman"/>
          <w:sz w:val="24"/>
          <w:szCs w:val="24"/>
          <w:lang w:val="bg-BG"/>
        </w:rPr>
        <w:t>е меко казано</w:t>
      </w:r>
      <w:r w:rsidR="000E1841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F79BE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E1841" w:rsidRPr="00497695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BF79BE" w:rsidRPr="00497695">
        <w:rPr>
          <w:rFonts w:ascii="Times New Roman" w:hAnsi="Times New Roman" w:cs="Times New Roman"/>
          <w:sz w:val="24"/>
          <w:szCs w:val="24"/>
          <w:lang w:val="bg-BG"/>
        </w:rPr>
        <w:t>стресиращ</w:t>
      </w:r>
      <w:r w:rsidR="000E1841" w:rsidRPr="00497695">
        <w:rPr>
          <w:rFonts w:ascii="Times New Roman" w:hAnsi="Times New Roman" w:cs="Times New Roman"/>
          <w:sz w:val="24"/>
          <w:szCs w:val="24"/>
          <w:lang w:val="bg-BG"/>
        </w:rPr>
        <w:t>а“</w:t>
      </w:r>
      <w:r w:rsidR="00BF79BE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E1841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констатацията за 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изоставането в област „Капацитет на страната да запазва таланти“ (142 място) и „Капацитет на страната да привлича таланти“ (144 място). </w:t>
      </w:r>
    </w:p>
    <w:p w:rsidR="00BF79BE" w:rsidRPr="006A1937" w:rsidRDefault="00BF79BE" w:rsidP="000831E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6A1937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Изводи за </w:t>
      </w:r>
      <w:r w:rsidR="000831E9" w:rsidRPr="006A1937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</w:t>
      </w:r>
      <w:r w:rsidRPr="006A1937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рограмата:</w:t>
      </w:r>
    </w:p>
    <w:p w:rsidR="00BF79BE" w:rsidRPr="00497695" w:rsidRDefault="00AC2A9C" w:rsidP="000831E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BF79BE" w:rsidRPr="006A1937">
        <w:rPr>
          <w:rFonts w:ascii="Times New Roman" w:hAnsi="Times New Roman" w:cs="Times New Roman"/>
          <w:sz w:val="24"/>
          <w:szCs w:val="24"/>
          <w:lang w:val="bg-BG"/>
        </w:rPr>
        <w:t>М</w:t>
      </w:r>
      <w:r w:rsidR="001D7D25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BF79BE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БА на НБУ трябва да бъдат въведени 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>курсове от типа “Методи и средства за откриване</w:t>
      </w:r>
      <w:r w:rsidR="00BF79BE" w:rsidRPr="006A193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 развитие </w:t>
      </w:r>
      <w:r w:rsidR="00BF79BE" w:rsidRPr="006A1937">
        <w:rPr>
          <w:rFonts w:ascii="Times New Roman" w:hAnsi="Times New Roman" w:cs="Times New Roman"/>
          <w:sz w:val="24"/>
          <w:szCs w:val="24"/>
          <w:lang w:val="bg-BG"/>
        </w:rPr>
        <w:t>и насърчаване на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 таланти“.</w:t>
      </w:r>
      <w:r w:rsidR="00BF79BE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 Подобни курсове са включени в магистърски програми на западни университети и може да се ползва натрупания от тяхното преподаване опит.</w:t>
      </w:r>
      <w:r w:rsidR="00BF79BE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F79BE" w:rsidRPr="00497695" w:rsidRDefault="00AC2A9C" w:rsidP="00AC2A9C">
      <w:pPr>
        <w:spacing w:before="120"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Друга </w:t>
      </w:r>
      <w:r w:rsidR="00BF79BE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много 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>важна</w:t>
      </w:r>
      <w:r w:rsidR="00BF79BE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и актуална област </w:t>
      </w:r>
      <w:r w:rsidR="00BF79BE" w:rsidRPr="0049769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 </w:t>
      </w:r>
      <w:r w:rsidR="000E1841" w:rsidRPr="00497695">
        <w:rPr>
          <w:rFonts w:ascii="Times New Roman" w:hAnsi="Times New Roman" w:cs="Times New Roman"/>
          <w:b/>
          <w:sz w:val="24"/>
          <w:szCs w:val="24"/>
          <w:lang w:val="bg-BG"/>
        </w:rPr>
        <w:t>7-и с</w:t>
      </w:r>
      <w:r w:rsidR="00BF79BE" w:rsidRPr="00497695">
        <w:rPr>
          <w:rFonts w:ascii="Times New Roman" w:hAnsi="Times New Roman" w:cs="Times New Roman"/>
          <w:b/>
          <w:sz w:val="24"/>
          <w:szCs w:val="24"/>
          <w:lang w:val="bg-BG"/>
        </w:rPr>
        <w:t>тълб</w:t>
      </w:r>
      <w:r w:rsidR="00BF79BE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е 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>диалог</w:t>
      </w:r>
      <w:r w:rsidR="00BF79BE" w:rsidRPr="00497695">
        <w:rPr>
          <w:rFonts w:ascii="Times New Roman" w:hAnsi="Times New Roman" w:cs="Times New Roman"/>
          <w:sz w:val="24"/>
          <w:szCs w:val="24"/>
          <w:lang w:val="bg-BG"/>
        </w:rPr>
        <w:t>ът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между работодатели и работници  „Сътрудничеството в отношенията между труда и работодателите“</w:t>
      </w:r>
      <w:r w:rsidR="000E1841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. По този показател </w:t>
      </w:r>
      <w:r w:rsidR="00BF79BE" w:rsidRPr="00497695">
        <w:rPr>
          <w:rFonts w:ascii="Times New Roman" w:hAnsi="Times New Roman" w:cs="Times New Roman"/>
          <w:sz w:val="24"/>
          <w:szCs w:val="24"/>
          <w:lang w:val="bg-BG"/>
        </w:rPr>
        <w:t>България заема 99 място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.  </w:t>
      </w:r>
    </w:p>
    <w:p w:rsidR="00131B9C" w:rsidRPr="00497695" w:rsidRDefault="00BF79BE" w:rsidP="00BF79BE">
      <w:pPr>
        <w:spacing w:before="120"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49769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Изводи за </w:t>
      </w:r>
      <w:r w:rsidR="000831E9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</w:t>
      </w:r>
      <w:r w:rsidRPr="0049769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рограмата: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C2A9C" w:rsidRPr="006A1937" w:rsidRDefault="00BF79BE" w:rsidP="000831E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Необходимо е разширяване на обучението в тази област чрез въвеждане на курс от типа „Сътрудничество и диалог в отношенията между труда и капитала“. </w:t>
      </w:r>
      <w:r w:rsidR="00AC2A9C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Подобен курс е перспективен и в контекста на 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полаганите напоследък </w:t>
      </w:r>
      <w:r w:rsidR="00AC2A9C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усилия </w:t>
      </w:r>
      <w:r w:rsidR="00131B9C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в ЕС </w:t>
      </w:r>
      <w:r w:rsidR="000E1841" w:rsidRPr="006A1937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131B9C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и донякъде </w:t>
      </w:r>
      <w:r w:rsidR="000E1841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131B9C" w:rsidRPr="006A1937">
        <w:rPr>
          <w:rFonts w:ascii="Times New Roman" w:hAnsi="Times New Roman" w:cs="Times New Roman"/>
          <w:sz w:val="24"/>
          <w:szCs w:val="24"/>
          <w:lang w:val="bg-BG"/>
        </w:rPr>
        <w:t>в България</w:t>
      </w:r>
      <w:r w:rsidR="000E1841" w:rsidRPr="006A1937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131B9C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C2A9C" w:rsidRPr="006A1937">
        <w:rPr>
          <w:rFonts w:ascii="Times New Roman" w:hAnsi="Times New Roman" w:cs="Times New Roman"/>
          <w:sz w:val="24"/>
          <w:szCs w:val="24"/>
          <w:lang w:val="bg-BG"/>
        </w:rPr>
        <w:t>да се реанимира</w:t>
      </w:r>
      <w:r w:rsidR="00131B9C" w:rsidRPr="006A1937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AC2A9C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 индустриална</w:t>
      </w:r>
      <w:r w:rsidR="00131B9C" w:rsidRPr="006A1937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AC2A9C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 политика</w:t>
      </w:r>
      <w:r w:rsidR="00131B9C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proofErr w:type="spellStart"/>
      <w:r w:rsidR="00131B9C" w:rsidRPr="006A1937">
        <w:rPr>
          <w:rFonts w:ascii="Times New Roman" w:hAnsi="Times New Roman" w:cs="Times New Roman"/>
          <w:sz w:val="24"/>
          <w:szCs w:val="24"/>
          <w:lang w:val="bg-BG"/>
        </w:rPr>
        <w:t>реиндустриализацията</w:t>
      </w:r>
      <w:proofErr w:type="spellEnd"/>
      <w:r w:rsidR="000831E9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 на икономиката</w:t>
      </w:r>
      <w:r w:rsidR="00131B9C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. Както е известно от стопанската история, провеждането на успешна индустриална политика </w:t>
      </w:r>
      <w:r w:rsidR="00AC2A9C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се основава върху ефективни форми на </w:t>
      </w:r>
      <w:r w:rsidR="00AC2A9C" w:rsidRPr="006A1937">
        <w:rPr>
          <w:rFonts w:ascii="Times New Roman" w:hAnsi="Times New Roman" w:cs="Times New Roman"/>
          <w:b/>
          <w:i/>
          <w:sz w:val="24"/>
          <w:szCs w:val="24"/>
          <w:lang w:val="bg-BG"/>
        </w:rPr>
        <w:t>тристранно сътрудничество</w:t>
      </w:r>
      <w:r w:rsidR="00AC2A9C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 между представителите на труда, капитала и правителството. </w:t>
      </w:r>
      <w:r w:rsidR="000E1841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В този контекст е целесъобразно включването в Програмата на </w:t>
      </w:r>
      <w:r w:rsidR="00131B9C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курс с примерно название: </w:t>
      </w:r>
      <w:r w:rsidR="00AC2A9C" w:rsidRPr="006A1937">
        <w:rPr>
          <w:rFonts w:ascii="Times New Roman" w:hAnsi="Times New Roman" w:cs="Times New Roman"/>
          <w:sz w:val="24"/>
          <w:szCs w:val="24"/>
          <w:lang w:val="bg-BG"/>
        </w:rPr>
        <w:t>„Тристранно сътрудничество и индустриална политика“.</w:t>
      </w:r>
    </w:p>
    <w:p w:rsidR="00131B9C" w:rsidRPr="006A1937" w:rsidRDefault="00AC2A9C" w:rsidP="000831E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937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В 8-и стълб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 „Развитие на финансовите пазари“ изоставането е в област „Достъп до финансиране“ (124 място), „Финансиране чрез местния фондов пазар“ (94 място), „Регулации на сделките с ценни книжа“</w:t>
      </w:r>
      <w:r w:rsidR="000E1841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 (116 място)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131B9C" w:rsidRPr="006A1937" w:rsidRDefault="00131B9C" w:rsidP="000831E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937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Изводи за М</w:t>
      </w:r>
      <w:r w:rsidR="001D7D2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</w:t>
      </w:r>
      <w:r w:rsidRPr="006A1937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БА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AC2A9C" w:rsidRPr="006A1937" w:rsidRDefault="00AC2A9C" w:rsidP="000831E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Очевидно в тази област трябва да се </w:t>
      </w:r>
      <w:r w:rsidR="00131B9C" w:rsidRPr="006A1937">
        <w:rPr>
          <w:rFonts w:ascii="Times New Roman" w:hAnsi="Times New Roman" w:cs="Times New Roman"/>
          <w:sz w:val="24"/>
          <w:szCs w:val="24"/>
          <w:lang w:val="bg-BG"/>
        </w:rPr>
        <w:t>разшири преподаването на к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урсове за капиталовите пазари </w:t>
      </w:r>
      <w:r w:rsidR="000E1841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- като средство за финансиране на бизнеса - 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или даже да се въведе специализация </w:t>
      </w:r>
      <w:r w:rsidR="000E1841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>М</w:t>
      </w:r>
      <w:r w:rsidR="001D7D25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>БА</w:t>
      </w:r>
      <w:r w:rsidR="000E1841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в област </w:t>
      </w:r>
      <w:r w:rsidR="000E1841" w:rsidRPr="006A1937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>финансов мениджмънт</w:t>
      </w:r>
      <w:r w:rsidR="000E1841" w:rsidRPr="006A1937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. Като пример в това отношение може да </w:t>
      </w:r>
      <w:r w:rsidR="00131B9C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се ползват 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програмите на СУ „Климент Охридски“ по </w:t>
      </w:r>
      <w:r w:rsidR="00131B9C" w:rsidRPr="006A1937">
        <w:rPr>
          <w:rFonts w:ascii="Times New Roman" w:hAnsi="Times New Roman" w:cs="Times New Roman"/>
          <w:sz w:val="24"/>
          <w:szCs w:val="24"/>
          <w:lang w:val="bg-BG"/>
        </w:rPr>
        <w:t>„Ф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>инансов мениджмънт за икономисти</w:t>
      </w:r>
      <w:r w:rsidR="000831E9" w:rsidRPr="006A1937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 (включително на английски език) и „</w:t>
      </w:r>
      <w:r w:rsidR="00131B9C" w:rsidRPr="006A1937">
        <w:rPr>
          <w:rFonts w:ascii="Times New Roman" w:hAnsi="Times New Roman" w:cs="Times New Roman"/>
          <w:sz w:val="24"/>
          <w:szCs w:val="24"/>
          <w:lang w:val="bg-BG"/>
        </w:rPr>
        <w:t>Ф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>инансов мениджмънт за неикономисти“</w:t>
      </w:r>
      <w:r w:rsidR="00131B9C" w:rsidRPr="006A193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A1937"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footnoteReference w:id="4"/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C2A9C" w:rsidRPr="006A1937" w:rsidRDefault="00131B9C" w:rsidP="000831E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Целесъобразно е да се въведе и </w:t>
      </w:r>
      <w:r w:rsidR="00AC2A9C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специализация за работа на фондовата борса, например </w:t>
      </w:r>
      <w:r w:rsidR="000831E9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AC2A9C" w:rsidRPr="006A1937">
        <w:rPr>
          <w:rFonts w:ascii="Times New Roman" w:hAnsi="Times New Roman" w:cs="Times New Roman"/>
          <w:sz w:val="24"/>
          <w:szCs w:val="24"/>
          <w:lang w:val="bg-BG"/>
        </w:rPr>
        <w:t>МБА със специализация „</w:t>
      </w:r>
      <w:r w:rsidR="000831E9" w:rsidRPr="006A1937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AC2A9C" w:rsidRPr="006A1937">
        <w:rPr>
          <w:rFonts w:ascii="Times New Roman" w:hAnsi="Times New Roman" w:cs="Times New Roman"/>
          <w:sz w:val="24"/>
          <w:szCs w:val="24"/>
          <w:lang w:val="bg-BG"/>
        </w:rPr>
        <w:t>апиталови пазари“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. В това отношение има възможност да се </w:t>
      </w:r>
      <w:r w:rsidR="00AC2A9C" w:rsidRPr="006A1937">
        <w:rPr>
          <w:rFonts w:ascii="Times New Roman" w:hAnsi="Times New Roman" w:cs="Times New Roman"/>
          <w:sz w:val="24"/>
          <w:szCs w:val="24"/>
          <w:lang w:val="bg-BG"/>
        </w:rPr>
        <w:t>ползва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0831E9" w:rsidRPr="006A193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AC2A9C" w:rsidRPr="006A1937">
        <w:rPr>
          <w:rFonts w:ascii="Times New Roman" w:hAnsi="Times New Roman" w:cs="Times New Roman"/>
          <w:sz w:val="24"/>
          <w:szCs w:val="24"/>
          <w:lang w:val="bg-BG"/>
        </w:rPr>
        <w:t>тажантска</w:t>
      </w:r>
      <w:r w:rsidR="000831E9" w:rsidRPr="006A1937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AC2A9C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 програма на БФБ-София, където се очаква стажуващите студенти да имат отлични знания и умения в областта на количествените науки, езикови познания по български и английски език, добри умения при работа със стандартните Microsoft Office приложения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 и т.н.</w:t>
      </w:r>
      <w:r w:rsidR="00AC2A9C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E32E3" w:rsidRPr="006A1937" w:rsidRDefault="00EE32E3" w:rsidP="00AC2A9C">
      <w:pPr>
        <w:spacing w:before="120"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3544E" w:rsidRPr="004B47C9" w:rsidRDefault="0053544E" w:rsidP="00AC2A9C">
      <w:pPr>
        <w:spacing w:before="120" w:after="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6A1937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2.3.3 Относно възможностите за преминаване </w:t>
      </w:r>
      <w:r w:rsidR="00EE32E3" w:rsidRPr="006A1937">
        <w:rPr>
          <w:rFonts w:ascii="Times New Roman" w:hAnsi="Times New Roman" w:cs="Times New Roman"/>
          <w:b/>
          <w:i/>
          <w:sz w:val="24"/>
          <w:szCs w:val="24"/>
          <w:lang w:val="bg-BG"/>
        </w:rPr>
        <w:t>на българската икономик</w:t>
      </w:r>
      <w:r w:rsidR="00EE32E3" w:rsidRPr="004B47C9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а </w:t>
      </w:r>
      <w:r w:rsidRPr="004B47C9">
        <w:rPr>
          <w:rFonts w:ascii="Times New Roman" w:hAnsi="Times New Roman" w:cs="Times New Roman"/>
          <w:b/>
          <w:i/>
          <w:sz w:val="24"/>
          <w:szCs w:val="24"/>
          <w:lang w:val="bg-BG"/>
        </w:rPr>
        <w:t>към иновационен стадий на развитие</w:t>
      </w:r>
    </w:p>
    <w:p w:rsidR="00AC2A9C" w:rsidRPr="00497695" w:rsidRDefault="00EE32E3" w:rsidP="004B47C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7695">
        <w:rPr>
          <w:rFonts w:ascii="Times New Roman" w:hAnsi="Times New Roman" w:cs="Times New Roman"/>
          <w:sz w:val="24"/>
          <w:szCs w:val="24"/>
          <w:lang w:val="bg-BG"/>
        </w:rPr>
        <w:t>Подготовката на мениджъри и ръководители на бизнеса в М</w:t>
      </w:r>
      <w:r w:rsidR="001D7D25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БА трябва безспорно да бъде ориентирана и към дългосрочната перспектива, а именно – </w:t>
      </w:r>
      <w:r w:rsidR="004B47C9" w:rsidRPr="00497695">
        <w:rPr>
          <w:rFonts w:ascii="Times New Roman" w:hAnsi="Times New Roman" w:cs="Times New Roman"/>
          <w:sz w:val="24"/>
          <w:szCs w:val="24"/>
          <w:lang w:val="bg-BG"/>
        </w:rPr>
        <w:t>преминаване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на икономиката към иновационен стадий на развитие. Но </w:t>
      </w:r>
      <w:r w:rsidR="00AC2A9C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именно в областта на ключовите за 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този преход </w:t>
      </w:r>
      <w:r w:rsidR="00AC2A9C" w:rsidRPr="00497695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832555" w:rsidRPr="00497695">
        <w:rPr>
          <w:rFonts w:ascii="Times New Roman" w:hAnsi="Times New Roman" w:cs="Times New Roman"/>
          <w:sz w:val="24"/>
          <w:szCs w:val="24"/>
          <w:lang w:val="bg-BG"/>
        </w:rPr>
        <w:t>Ф</w:t>
      </w:r>
      <w:r w:rsidR="00AC2A9C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актори </w:t>
      </w:r>
      <w:r w:rsidR="00401491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AC2A9C" w:rsidRPr="00497695">
        <w:rPr>
          <w:rFonts w:ascii="Times New Roman" w:hAnsi="Times New Roman" w:cs="Times New Roman"/>
          <w:sz w:val="24"/>
          <w:szCs w:val="24"/>
          <w:lang w:val="bg-BG"/>
        </w:rPr>
        <w:t>а усъвършенстването и иновациите“ България бележи значител</w:t>
      </w:r>
      <w:r w:rsidR="0053544E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но </w:t>
      </w:r>
      <w:r w:rsidR="00AC2A9C" w:rsidRPr="00497695">
        <w:rPr>
          <w:rFonts w:ascii="Times New Roman" w:hAnsi="Times New Roman" w:cs="Times New Roman"/>
          <w:sz w:val="24"/>
          <w:szCs w:val="24"/>
          <w:lang w:val="bg-BG"/>
        </w:rPr>
        <w:t>изостав</w:t>
      </w:r>
      <w:r w:rsidR="0053544E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ане и 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дори - </w:t>
      </w:r>
      <w:r w:rsidR="00AC2A9C" w:rsidRPr="00497695">
        <w:rPr>
          <w:rFonts w:ascii="Times New Roman" w:hAnsi="Times New Roman" w:cs="Times New Roman"/>
          <w:sz w:val="24"/>
          <w:szCs w:val="24"/>
          <w:lang w:val="bg-BG"/>
        </w:rPr>
        <w:t>регрес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AC2A9C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53544E" w:rsidRPr="00497695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AC2A9C" w:rsidRPr="00497695">
        <w:rPr>
          <w:rFonts w:ascii="Times New Roman" w:hAnsi="Times New Roman" w:cs="Times New Roman"/>
          <w:sz w:val="24"/>
          <w:szCs w:val="24"/>
          <w:lang w:val="bg-BG"/>
        </w:rPr>
        <w:t>оклад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а за глобалната конкурентоспособност 2012-2013 г. </w:t>
      </w:r>
      <w:r w:rsidR="00AC2A9C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България бе класирана на 97 място, а в доклада за 2013-2014 г. - на 108 място (Китай – 34, Полша – 65, Чехия – 36, Литва – 44). </w:t>
      </w:r>
    </w:p>
    <w:p w:rsidR="00AC2A9C" w:rsidRPr="00497695" w:rsidRDefault="00AC2A9C" w:rsidP="004B47C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Нещо повече, </w:t>
      </w:r>
      <w:r w:rsidR="0053544E" w:rsidRPr="00497695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>поред последното изследване на Европейския иновационен съюз (2013 г.)</w:t>
      </w:r>
      <w:r w:rsidR="00EE32E3" w:rsidRPr="0049769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България продължава да бъде между страните </w:t>
      </w:r>
      <w:r w:rsidRPr="004B47C9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„скромни (плахи) </w:t>
      </w:r>
      <w:proofErr w:type="spellStart"/>
      <w:r w:rsidRPr="004B47C9">
        <w:rPr>
          <w:rFonts w:ascii="Times New Roman" w:hAnsi="Times New Roman" w:cs="Times New Roman"/>
          <w:b/>
          <w:i/>
          <w:sz w:val="24"/>
          <w:szCs w:val="24"/>
          <w:lang w:val="bg-BG"/>
        </w:rPr>
        <w:t>иноватори</w:t>
      </w:r>
      <w:proofErr w:type="spellEnd"/>
      <w:r w:rsidRPr="004B47C9">
        <w:rPr>
          <w:rFonts w:ascii="Times New Roman" w:hAnsi="Times New Roman" w:cs="Times New Roman"/>
          <w:b/>
          <w:i/>
          <w:sz w:val="24"/>
          <w:szCs w:val="24"/>
          <w:lang w:val="bg-BG"/>
        </w:rPr>
        <w:t>“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EE32E3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в областта на иновациите 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заема последното място </w:t>
      </w:r>
      <w:r w:rsidR="004B47C9">
        <w:rPr>
          <w:rFonts w:ascii="Times New Roman" w:hAnsi="Times New Roman" w:cs="Times New Roman"/>
          <w:sz w:val="24"/>
          <w:szCs w:val="24"/>
          <w:lang w:val="bg-BG"/>
        </w:rPr>
        <w:t xml:space="preserve">сред 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страните-членки на ЕС. Относително силните страни на България се откриват при някои от индикаторите в сферата на човешките ресурси, интелектуалната собственост и икономическите ефекти, а най-слабите резултати са при финансирането и оказването на подкрепа, мрежите и предприемачеството, интелектуалната собственост и иновационните (творческите) резултати, т.е в едни и същи сфери България показва едновременно и сила и слабост. Този факт определя иновационната система на нашата страна като </w:t>
      </w:r>
      <w:r w:rsidR="000E1841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примитивна и 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>небалансирана</w:t>
      </w:r>
      <w:r w:rsidR="00750F78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и поставя под съмнение перспективите за българския принос в реализацията на Стратегия Европа – 2020 за интелигентен, приобщаващ и устойчив растеж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AC2A9C" w:rsidRPr="00497695" w:rsidRDefault="00AC2A9C" w:rsidP="00AC2A9C">
      <w:pPr>
        <w:spacing w:before="120"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49769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7274357" wp14:editId="284F2E15">
            <wp:extent cx="5186696" cy="24947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743" cy="249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7C9" w:rsidRPr="00497695" w:rsidRDefault="004B47C9" w:rsidP="004B47C9">
      <w:pPr>
        <w:spacing w:before="120"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4B47C9">
        <w:rPr>
          <w:rFonts w:ascii="Times New Roman" w:hAnsi="Times New Roman" w:cs="Times New Roman"/>
          <w:sz w:val="24"/>
          <w:szCs w:val="24"/>
          <w:u w:val="single"/>
          <w:lang w:val="bg-BG"/>
        </w:rPr>
        <w:t>Фигура 1: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Класиране на иновационните системи на страните-членки през 2012 г.</w:t>
      </w:r>
      <w:r w:rsidR="008E5CCF">
        <w:rPr>
          <w:rStyle w:val="FootnoteReference"/>
          <w:rFonts w:ascii="Times New Roman" w:hAnsi="Times New Roman" w:cs="Times New Roman"/>
          <w:sz w:val="24"/>
          <w:szCs w:val="24"/>
          <w:lang w:val="bg-BG"/>
        </w:rPr>
        <w:footnoteReference w:id="5"/>
      </w:r>
    </w:p>
    <w:p w:rsidR="004B47C9" w:rsidRDefault="004B47C9" w:rsidP="00AC2A9C">
      <w:pPr>
        <w:spacing w:before="120"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750F78" w:rsidRPr="00497695" w:rsidRDefault="00750F78" w:rsidP="00AC2A9C">
      <w:pPr>
        <w:spacing w:before="120"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49769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По-конкретно, в</w:t>
      </w:r>
      <w:r w:rsidR="00AC2A9C" w:rsidRPr="0049769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="0053544E" w:rsidRPr="0049769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рамките на</w:t>
      </w:r>
      <w:r w:rsidR="00AC2A9C" w:rsidRPr="0049769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стълб 11 „Усъвършенстване на бизнеса“</w:t>
      </w:r>
      <w:r w:rsidR="00AC2A9C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, най-голямо </w:t>
      </w:r>
      <w:r w:rsidR="0053544E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е изоставането на страната в област </w:t>
      </w:r>
      <w:r w:rsidR="00AC2A9C" w:rsidRPr="00497695">
        <w:rPr>
          <w:rFonts w:ascii="Times New Roman" w:hAnsi="Times New Roman" w:cs="Times New Roman"/>
          <w:sz w:val="24"/>
          <w:szCs w:val="24"/>
          <w:lang w:val="bg-BG"/>
        </w:rPr>
        <w:t>„Желание за делегиране на права“ (123 позиция), „</w:t>
      </w:r>
      <w:r w:rsidR="0053544E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Обхват </w:t>
      </w:r>
      <w:r w:rsidR="00AC2A9C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на веригата на стойността“ (116), </w:t>
      </w:r>
      <w:r w:rsidR="004B47C9">
        <w:rPr>
          <w:rFonts w:ascii="Times New Roman" w:hAnsi="Times New Roman" w:cs="Times New Roman"/>
          <w:sz w:val="24"/>
          <w:szCs w:val="24"/>
          <w:lang w:val="bg-BG"/>
        </w:rPr>
        <w:t>„Професионално управление“ (112</w:t>
      </w:r>
      <w:r w:rsidR="00AC2A9C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) „Конкурентни предимства“ </w:t>
      </w:r>
      <w:r w:rsidR="0053544E" w:rsidRPr="00497695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4B47C9">
        <w:rPr>
          <w:rFonts w:ascii="Times New Roman" w:hAnsi="Times New Roman" w:cs="Times New Roman"/>
          <w:sz w:val="24"/>
          <w:szCs w:val="24"/>
          <w:lang w:val="bg-BG"/>
        </w:rPr>
        <w:t>113</w:t>
      </w:r>
      <w:r w:rsidR="0053544E" w:rsidRPr="00497695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AC2A9C" w:rsidRPr="00497695">
        <w:rPr>
          <w:rFonts w:ascii="Times New Roman" w:hAnsi="Times New Roman" w:cs="Times New Roman"/>
          <w:sz w:val="24"/>
          <w:szCs w:val="24"/>
          <w:lang w:val="bg-BG"/>
        </w:rPr>
        <w:t>, „</w:t>
      </w:r>
      <w:r w:rsidR="0053544E" w:rsidRPr="00497695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4B47C9">
        <w:rPr>
          <w:rFonts w:ascii="Times New Roman" w:hAnsi="Times New Roman" w:cs="Times New Roman"/>
          <w:sz w:val="24"/>
          <w:szCs w:val="24"/>
          <w:lang w:val="bg-BG"/>
        </w:rPr>
        <w:t>азвитие на клъстерите“ (108</w:t>
      </w:r>
      <w:r w:rsidR="00AC2A9C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), „Приложение на маркетинга“ (106). </w:t>
      </w:r>
    </w:p>
    <w:p w:rsidR="00832555" w:rsidRPr="00497695" w:rsidRDefault="00750F78" w:rsidP="00AC2A9C">
      <w:pPr>
        <w:spacing w:before="120"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В рамките на </w:t>
      </w:r>
      <w:r w:rsidRPr="0049769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последния 12-ти стълб </w:t>
      </w:r>
      <w:r w:rsidR="00832555" w:rsidRPr="00497695">
        <w:rPr>
          <w:rFonts w:ascii="Times New Roman" w:hAnsi="Times New Roman" w:cs="Times New Roman"/>
          <w:b/>
          <w:sz w:val="24"/>
          <w:szCs w:val="24"/>
          <w:lang w:val="bg-BG"/>
        </w:rPr>
        <w:t>„Иновации“ (</w:t>
      </w:r>
      <w:r w:rsidR="00832555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България </w:t>
      </w:r>
      <w:r w:rsidR="00AA0F2D" w:rsidRPr="00497695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832555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A0F2D" w:rsidRPr="00497695">
        <w:rPr>
          <w:rFonts w:ascii="Times New Roman" w:hAnsi="Times New Roman" w:cs="Times New Roman"/>
          <w:sz w:val="24"/>
          <w:szCs w:val="24"/>
          <w:lang w:val="bg-BG"/>
        </w:rPr>
        <w:t>105, Китай – 32, Полша – 65)</w:t>
      </w:r>
      <w:r w:rsidR="00832555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>най-голямо е изоставането в области „Капацитет за иновации“ (</w:t>
      </w:r>
      <w:r w:rsidR="00AA0F2D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България – 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>103</w:t>
      </w:r>
      <w:r w:rsidR="00AA0F2D" w:rsidRPr="0049769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32555" w:rsidRPr="00497695">
        <w:rPr>
          <w:rFonts w:ascii="Times New Roman" w:hAnsi="Times New Roman" w:cs="Times New Roman"/>
          <w:sz w:val="24"/>
          <w:szCs w:val="24"/>
          <w:lang w:val="bg-BG"/>
        </w:rPr>
        <w:t>Китай – 30, Полша - 62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), </w:t>
      </w:r>
      <w:r w:rsidR="00832555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„ </w:t>
      </w:r>
      <w:r w:rsidR="00AA0F2D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Разходи </w:t>
      </w:r>
      <w:r w:rsidR="00832555" w:rsidRPr="00497695">
        <w:rPr>
          <w:rFonts w:ascii="Times New Roman" w:hAnsi="Times New Roman" w:cs="Times New Roman"/>
          <w:sz w:val="24"/>
          <w:szCs w:val="24"/>
          <w:lang w:val="bg-BG"/>
        </w:rPr>
        <w:t>на фирмите за изследвания и развитие“ (</w:t>
      </w:r>
      <w:r w:rsidR="00AA0F2D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България – </w:t>
      </w:r>
      <w:r w:rsidR="00832555" w:rsidRPr="00497695">
        <w:rPr>
          <w:rFonts w:ascii="Times New Roman" w:hAnsi="Times New Roman" w:cs="Times New Roman"/>
          <w:sz w:val="24"/>
          <w:szCs w:val="24"/>
          <w:lang w:val="bg-BG"/>
        </w:rPr>
        <w:t>107</w:t>
      </w:r>
      <w:r w:rsidR="00AA0F2D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832555" w:rsidRPr="00497695">
        <w:rPr>
          <w:rFonts w:ascii="Times New Roman" w:hAnsi="Times New Roman" w:cs="Times New Roman"/>
          <w:sz w:val="24"/>
          <w:szCs w:val="24"/>
          <w:lang w:val="bg-BG"/>
        </w:rPr>
        <w:t>Китай – 22, Полша – 103), „Сътрудничество между университетите и бизнеса в изследванията и развитието“ (България – 117, Китай – 33, Полша – 72), „Правителствени поръчки за доставка на високо</w:t>
      </w:r>
      <w:r w:rsidR="00AA0F2D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32555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технологични продукти“ (България – 90, Китай – 13, Полша – 103) </w:t>
      </w:r>
    </w:p>
    <w:p w:rsidR="00AA0F2D" w:rsidRPr="006A1937" w:rsidRDefault="00AA0F2D" w:rsidP="00AA0F2D">
      <w:pPr>
        <w:spacing w:before="120"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6A1937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Изводи за М</w:t>
      </w:r>
      <w:r w:rsidR="00401491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</w:t>
      </w:r>
      <w:r w:rsidRPr="006A1937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БА</w:t>
      </w:r>
      <w:r w:rsidR="00B25C80" w:rsidRPr="006A1937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:</w:t>
      </w:r>
    </w:p>
    <w:p w:rsidR="00AA0F2D" w:rsidRPr="006A1937" w:rsidRDefault="00AA0F2D" w:rsidP="004B47C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Голямото изоставане на България в области на иновационното развитие като „Професионално управление“ и „Приложение на маркетинга“, „Желание за делегиране на права“ </w:t>
      </w:r>
      <w:r w:rsidRPr="006A1937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безспорно потвърждават полезността за бизнеса </w:t>
      </w:r>
      <w:r w:rsidR="004B47C9" w:rsidRPr="006A1937">
        <w:rPr>
          <w:rFonts w:ascii="Times New Roman" w:hAnsi="Times New Roman" w:cs="Times New Roman"/>
          <w:b/>
          <w:i/>
          <w:sz w:val="24"/>
          <w:szCs w:val="24"/>
          <w:lang w:val="bg-BG"/>
        </w:rPr>
        <w:t>(</w:t>
      </w:r>
      <w:r w:rsidR="00B25C80" w:rsidRPr="006A1937">
        <w:rPr>
          <w:rFonts w:ascii="Times New Roman" w:hAnsi="Times New Roman" w:cs="Times New Roman"/>
          <w:b/>
          <w:i/>
          <w:sz w:val="24"/>
          <w:szCs w:val="24"/>
          <w:lang w:val="bg-BG"/>
        </w:rPr>
        <w:t>понастоящем и в перспектива</w:t>
      </w:r>
      <w:r w:rsidR="004B47C9" w:rsidRPr="006A1937">
        <w:rPr>
          <w:rFonts w:ascii="Times New Roman" w:hAnsi="Times New Roman" w:cs="Times New Roman"/>
          <w:b/>
          <w:i/>
          <w:sz w:val="24"/>
          <w:szCs w:val="24"/>
          <w:lang w:val="bg-BG"/>
        </w:rPr>
        <w:t>)</w:t>
      </w:r>
      <w:r w:rsidR="00B25C80" w:rsidRPr="006A1937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6A1937">
        <w:rPr>
          <w:rFonts w:ascii="Times New Roman" w:hAnsi="Times New Roman" w:cs="Times New Roman"/>
          <w:b/>
          <w:i/>
          <w:sz w:val="24"/>
          <w:szCs w:val="24"/>
          <w:lang w:val="bg-BG"/>
        </w:rPr>
        <w:t>на действащите в М</w:t>
      </w:r>
      <w:r w:rsidR="00401491">
        <w:rPr>
          <w:rFonts w:ascii="Times New Roman" w:hAnsi="Times New Roman" w:cs="Times New Roman"/>
          <w:b/>
          <w:i/>
          <w:sz w:val="24"/>
          <w:szCs w:val="24"/>
          <w:lang w:val="bg-BG"/>
        </w:rPr>
        <w:t>П</w:t>
      </w:r>
      <w:r w:rsidRPr="006A1937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БА на НБУ специализации </w:t>
      </w:r>
      <w:r w:rsidR="00B25C80" w:rsidRPr="006A1937">
        <w:rPr>
          <w:rFonts w:ascii="Times New Roman" w:hAnsi="Times New Roman" w:cs="Times New Roman"/>
          <w:b/>
          <w:i/>
          <w:sz w:val="24"/>
          <w:szCs w:val="24"/>
          <w:lang w:val="bg-BG"/>
        </w:rPr>
        <w:t>„Управление на м</w:t>
      </w:r>
      <w:r w:rsidRPr="006A1937">
        <w:rPr>
          <w:rFonts w:ascii="Times New Roman" w:hAnsi="Times New Roman" w:cs="Times New Roman"/>
          <w:b/>
          <w:i/>
          <w:sz w:val="24"/>
          <w:szCs w:val="24"/>
          <w:lang w:val="bg-BG"/>
        </w:rPr>
        <w:t>аркетинг</w:t>
      </w:r>
      <w:r w:rsidR="00B25C80" w:rsidRPr="006A1937">
        <w:rPr>
          <w:rFonts w:ascii="Times New Roman" w:hAnsi="Times New Roman" w:cs="Times New Roman"/>
          <w:b/>
          <w:i/>
          <w:sz w:val="24"/>
          <w:szCs w:val="24"/>
          <w:lang w:val="bg-BG"/>
        </w:rPr>
        <w:t>а“</w:t>
      </w:r>
      <w:r w:rsidRPr="006A1937">
        <w:rPr>
          <w:rFonts w:ascii="Times New Roman" w:hAnsi="Times New Roman" w:cs="Times New Roman"/>
          <w:b/>
          <w:i/>
          <w:sz w:val="24"/>
          <w:szCs w:val="24"/>
          <w:lang w:val="bg-BG"/>
        </w:rPr>
        <w:t>,</w:t>
      </w:r>
      <w:r w:rsidR="00B25C80" w:rsidRPr="006A1937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„Управление на човешките ресурси“, „Мениджмънт и лидерство“.</w:t>
      </w:r>
      <w:r w:rsidR="00B25C80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25C80" w:rsidRPr="00497695" w:rsidRDefault="00AC2A9C" w:rsidP="004B47C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937">
        <w:rPr>
          <w:rFonts w:ascii="Times New Roman" w:hAnsi="Times New Roman" w:cs="Times New Roman"/>
          <w:sz w:val="24"/>
          <w:szCs w:val="24"/>
          <w:lang w:val="bg-BG"/>
        </w:rPr>
        <w:t>Изоставането по позиция „конкурентни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предимства</w:t>
      </w:r>
      <w:r w:rsidR="00B25C80" w:rsidRPr="00497695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е израз на </w:t>
      </w:r>
      <w:proofErr w:type="spellStart"/>
      <w:r w:rsidRPr="00497695">
        <w:rPr>
          <w:rFonts w:ascii="Times New Roman" w:hAnsi="Times New Roman" w:cs="Times New Roman"/>
          <w:sz w:val="24"/>
          <w:szCs w:val="24"/>
          <w:lang w:val="bg-BG"/>
        </w:rPr>
        <w:t>деиндустриализацията</w:t>
      </w:r>
      <w:proofErr w:type="spellEnd"/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на българската икономика</w:t>
      </w:r>
      <w:r w:rsidR="004B47C9">
        <w:rPr>
          <w:rFonts w:ascii="Times New Roman" w:hAnsi="Times New Roman" w:cs="Times New Roman"/>
          <w:sz w:val="24"/>
          <w:szCs w:val="24"/>
          <w:lang w:val="bg-BG"/>
        </w:rPr>
        <w:t xml:space="preserve"> поради </w:t>
      </w:r>
      <w:r w:rsidR="00B25C80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прилагането на крайно неолибералния макроикономически модел в 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периода на прехода от планова към пазарна икономика. То показва, че конкурентното предимство на българските фирми на 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международните пазари се основава преди всичко на ниските разходи и наличните природни ресурси, вместо на уникални продукти и процеси. </w:t>
      </w:r>
      <w:r w:rsidR="00B25C80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Това обстоятелство още веднъж потвърждава необходимостта 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в МБА да се въведат курсове </w:t>
      </w:r>
      <w:r w:rsidR="00B25C80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в областта на 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>индустриална</w:t>
      </w:r>
      <w:r w:rsidR="00B25C80" w:rsidRPr="00497695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политика</w:t>
      </w:r>
      <w:r w:rsidR="00B25C80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. Доказателство е и фактът, че в институциите на 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ЕС напоследък все повече се говори за </w:t>
      </w:r>
      <w:r w:rsidR="00B25C80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необходимостта от 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>реиндустриализация</w:t>
      </w:r>
      <w:r w:rsidR="00B25C80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на икономиката. </w:t>
      </w:r>
    </w:p>
    <w:p w:rsidR="00AC2A9C" w:rsidRPr="00497695" w:rsidRDefault="00AC2A9C" w:rsidP="004B47C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7695">
        <w:rPr>
          <w:rFonts w:ascii="Times New Roman" w:hAnsi="Times New Roman" w:cs="Times New Roman"/>
          <w:sz w:val="24"/>
          <w:szCs w:val="24"/>
          <w:lang w:val="bg-BG"/>
        </w:rPr>
        <w:t>Изоставането по позицията „</w:t>
      </w:r>
      <w:r w:rsidR="004B47C9">
        <w:rPr>
          <w:rFonts w:ascii="Times New Roman" w:hAnsi="Times New Roman" w:cs="Times New Roman"/>
          <w:sz w:val="24"/>
          <w:szCs w:val="24"/>
          <w:lang w:val="bg-BG"/>
        </w:rPr>
        <w:t>Ж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елание за делегиране на права“ </w:t>
      </w:r>
      <w:r w:rsidRPr="00497695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говори за </w:t>
      </w:r>
      <w:r w:rsidR="00B25C80" w:rsidRPr="00497695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консервативността и примитивизма на българската бизнес практика, а именно </w:t>
      </w:r>
      <w:r w:rsidR="004B47C9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- </w:t>
      </w:r>
      <w:r w:rsidR="00B25C80" w:rsidRPr="00497695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че висшите мениджъри на фирмите </w:t>
      </w:r>
      <w:r w:rsidRPr="00497695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в България </w:t>
      </w:r>
      <w:r w:rsidR="00B25C80" w:rsidRPr="00497695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се стремят да </w:t>
      </w:r>
      <w:r w:rsidRPr="00497695">
        <w:rPr>
          <w:rFonts w:ascii="Times New Roman" w:hAnsi="Times New Roman" w:cs="Times New Roman"/>
          <w:iCs/>
          <w:sz w:val="24"/>
          <w:szCs w:val="24"/>
          <w:lang w:val="bg-BG"/>
        </w:rPr>
        <w:t>контролират всички важни решения и трудно делегират такива права на ръководители на бизнес единици и други мениджъри от по-ниско ниво. В подобна насока трябва да се интерпретира и изоставането в област “</w:t>
      </w:r>
      <w:r w:rsidR="00B25C80" w:rsidRPr="00497695">
        <w:rPr>
          <w:rFonts w:ascii="Times New Roman" w:hAnsi="Times New Roman" w:cs="Times New Roman"/>
          <w:iCs/>
          <w:sz w:val="24"/>
          <w:szCs w:val="24"/>
          <w:lang w:val="bg-BG"/>
        </w:rPr>
        <w:t>П</w:t>
      </w:r>
      <w:r w:rsidRPr="00497695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рофесионално управление” </w:t>
      </w:r>
      <w:r w:rsidR="00DF1E4F" w:rsidRPr="00497695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- </w:t>
      </w:r>
      <w:r w:rsidRPr="00497695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като породено от това, че ръководните позиции в предприятията по-често се заемат от приятели и роднини, а не от професионални мениджъри със заслуги и квалификация. </w:t>
      </w:r>
    </w:p>
    <w:p w:rsidR="00AC2A9C" w:rsidRPr="00497695" w:rsidRDefault="00DF1E4F" w:rsidP="004B47C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7695">
        <w:rPr>
          <w:rFonts w:ascii="Times New Roman" w:hAnsi="Times New Roman" w:cs="Times New Roman"/>
          <w:sz w:val="24"/>
          <w:szCs w:val="24"/>
          <w:lang w:val="bg-BG"/>
        </w:rPr>
        <w:t>В заключение трябва да се имат предвид и посочените в проучването на Доклада за глобалната конкурентоспособност 20</w:t>
      </w:r>
      <w:r w:rsidR="00AC2A9C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13-2014 г. най-проблемни фактори, затрудняващи правенето на бизнес в </w:t>
      </w:r>
      <w:r w:rsidR="008E5CCF">
        <w:rPr>
          <w:rFonts w:ascii="Times New Roman" w:hAnsi="Times New Roman" w:cs="Times New Roman"/>
          <w:sz w:val="24"/>
          <w:szCs w:val="24"/>
          <w:lang w:val="bg-BG"/>
        </w:rPr>
        <w:t>България. Близо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60% от запитаните представители н</w:t>
      </w:r>
      <w:r w:rsidR="004B47C9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частния бизнес посочват като такива: </w:t>
      </w:r>
      <w:r w:rsidR="00AC2A9C" w:rsidRPr="00497695">
        <w:rPr>
          <w:rFonts w:ascii="Times New Roman" w:hAnsi="Times New Roman" w:cs="Times New Roman"/>
          <w:sz w:val="24"/>
          <w:szCs w:val="24"/>
          <w:lang w:val="bg-BG"/>
        </w:rPr>
        <w:t>корупция</w:t>
      </w:r>
      <w:r w:rsidR="004B47C9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AC2A9C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4B47C9">
        <w:rPr>
          <w:rFonts w:ascii="Times New Roman" w:hAnsi="Times New Roman" w:cs="Times New Roman"/>
          <w:sz w:val="24"/>
          <w:szCs w:val="24"/>
          <w:lang w:val="bg-BG"/>
        </w:rPr>
        <w:t xml:space="preserve">затруднения </w:t>
      </w:r>
      <w:r w:rsidR="00AC2A9C" w:rsidRPr="00497695">
        <w:rPr>
          <w:rFonts w:ascii="Times New Roman" w:hAnsi="Times New Roman" w:cs="Times New Roman"/>
          <w:sz w:val="24"/>
          <w:szCs w:val="24"/>
          <w:lang w:val="bg-BG"/>
        </w:rPr>
        <w:t>достъп до финансиране, тежка</w:t>
      </w:r>
      <w:r w:rsidR="004B47C9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AC2A9C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държавна бюрокрация, непредвидимост</w:t>
      </w:r>
      <w:r w:rsidR="004B47C9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AC2A9C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на водената политика и политическа</w:t>
      </w:r>
      <w:r w:rsidR="004B47C9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AC2A9C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нестабилност. </w:t>
      </w:r>
    </w:p>
    <w:p w:rsidR="004B47C9" w:rsidRDefault="004B47C9" w:rsidP="001D0D26">
      <w:pPr>
        <w:spacing w:before="120"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DF1E4F" w:rsidRPr="006A1937" w:rsidRDefault="004B47C9" w:rsidP="004B47C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A1937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DF1E4F" w:rsidRPr="006A1937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Изводи от оценките на българския бизнес </w:t>
      </w:r>
      <w:r w:rsidR="000911F7" w:rsidRPr="006A193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</w:t>
      </w:r>
      <w:r w:rsidR="00F72209" w:rsidRPr="006A193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обучението </w:t>
      </w:r>
      <w:r w:rsidR="005B7527">
        <w:rPr>
          <w:rFonts w:ascii="Times New Roman" w:hAnsi="Times New Roman" w:cs="Times New Roman"/>
          <w:b/>
          <w:sz w:val="24"/>
          <w:szCs w:val="24"/>
          <w:lang w:val="bg-BG"/>
        </w:rPr>
        <w:t>в МПБА</w:t>
      </w:r>
      <w:r w:rsidR="00F72209" w:rsidRPr="006A193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647CAA" w:rsidRPr="006A1937" w:rsidRDefault="00647CAA" w:rsidP="000077AE">
      <w:pPr>
        <w:spacing w:before="120" w:after="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6A1937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3.1 Изводи относно общите за трите специализации курсове от първи и трети семестър </w:t>
      </w:r>
    </w:p>
    <w:p w:rsidR="000077AE" w:rsidRPr="006A1937" w:rsidRDefault="00DB11FC" w:rsidP="004B47C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DF1E4F" w:rsidRPr="006A1937">
        <w:rPr>
          <w:rFonts w:ascii="Times New Roman" w:hAnsi="Times New Roman" w:cs="Times New Roman"/>
          <w:sz w:val="24"/>
          <w:szCs w:val="24"/>
          <w:lang w:val="bg-BG"/>
        </w:rPr>
        <w:t>Доклада на НБУ за резултатите от проведената анкета съвместно с Българската стопанска камара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 обучението в М</w:t>
      </w:r>
      <w:r w:rsidR="005B7527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БА е поставено на 3-то място (39 от попълнените анкети), което свидетелства, че представителите на бизнеса дават висока оценка за Програмата. </w:t>
      </w:r>
      <w:r w:rsidR="000077AE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Показателно е, че в духа на изводите и препоръките от предшестващия анализ анкетираните определят като значими (с повече от 60% одобрение) 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следните </w:t>
      </w:r>
      <w:r w:rsidR="0015729E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общи за трите специализации </w:t>
      </w:r>
      <w:r w:rsidR="000077AE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тематични 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>области</w:t>
      </w:r>
      <w:r w:rsidR="000077AE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>„Изкуството на преговорите”, „Стратегии за управление на качеството”, „Бизнес среда и устойчиво развитие”, „Бизнес стратегии” и „Психология на бизнеса”</w:t>
      </w:r>
      <w:r w:rsidR="000077AE" w:rsidRPr="006A193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77AE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„Интегрирани информационни системи за управление на бизнеса“, „Финансов мениджмънт“, „Стратегии за управление на риска“, „Стратегическо управление и инструменти за анализ“, „Бизнес инвестиции“, „Международен бизнес“, „Управленско консултиране“. </w:t>
      </w:r>
    </w:p>
    <w:p w:rsidR="004B47C9" w:rsidRPr="006A1937" w:rsidRDefault="004B47C9" w:rsidP="000077AE">
      <w:pPr>
        <w:spacing w:before="120"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0077AE" w:rsidRPr="006A1937" w:rsidRDefault="000077AE" w:rsidP="000077AE">
      <w:pPr>
        <w:spacing w:before="120"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6A1937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Изводи за М</w:t>
      </w:r>
      <w:r w:rsidR="005B7527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</w:t>
      </w:r>
      <w:r w:rsidRPr="006A1937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БА:</w:t>
      </w:r>
    </w:p>
    <w:p w:rsidR="0053722D" w:rsidRPr="006A1937" w:rsidRDefault="0053722D" w:rsidP="005415D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А) Относно </w:t>
      </w:r>
      <w:r w:rsidR="00FF0E03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сравнително ниското одобрение на 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курсове </w:t>
      </w:r>
      <w:r w:rsidR="000077AE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“Външнотърговска политика“ 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>и „Политики на Европейския съюз“</w:t>
      </w:r>
      <w:r w:rsidR="00FF0E03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 – съответно 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43,59% и 48,7%.  </w:t>
      </w:r>
    </w:p>
    <w:p w:rsidR="0053722D" w:rsidRPr="006A1937" w:rsidRDefault="0053722D" w:rsidP="005415D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937">
        <w:rPr>
          <w:rFonts w:ascii="Times New Roman" w:hAnsi="Times New Roman" w:cs="Times New Roman"/>
          <w:sz w:val="24"/>
          <w:szCs w:val="24"/>
          <w:u w:val="single"/>
          <w:lang w:val="bg-BG"/>
        </w:rPr>
        <w:t>Коментар: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 първо, в рамките на ЕС се провежда обща търговска политика, задължителна за всички страни – членки. Това означава, че тази материя </w:t>
      </w:r>
      <w:r w:rsidR="00FF0E03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би трябвало да 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се покрива </w:t>
      </w:r>
      <w:r w:rsidR="00FF0E03" w:rsidRPr="006A1937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 голяма степен в курса „Политики на Европейския съюз“. Поради същата причина е целе</w:t>
      </w:r>
      <w:r w:rsidR="00FF0E03" w:rsidRPr="006A193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>ъобразно курсът „Външнотърговска политика</w:t>
      </w:r>
      <w:r w:rsidR="00FF0E03" w:rsidRPr="006A1937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 да отпадне от програмата.</w:t>
      </w:r>
      <w:r w:rsidR="005415D6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F0E03" w:rsidRPr="006A1937">
        <w:rPr>
          <w:rFonts w:ascii="Times New Roman" w:hAnsi="Times New Roman" w:cs="Times New Roman"/>
          <w:sz w:val="24"/>
          <w:szCs w:val="24"/>
          <w:lang w:val="bg-BG"/>
        </w:rPr>
        <w:lastRenderedPageBreak/>
        <w:t>Възможни са и други варианти – курсът да бъде заменен: 1) с „Търговска политика на ЕС“, поради голямото значение на търговията на страните от ЕС с третите страни; 2) с практически насочен курс „Техника на външната търговия“ – с фирми в страни от ЕС и с фирми от трети страни – нечленуващи в ЕС.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077AE" w:rsidRPr="006A1937" w:rsidRDefault="0053722D" w:rsidP="005415D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Второ, курсът „Политики на Европейския съюз“ </w:t>
      </w:r>
      <w:r w:rsidR="00FF0E03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има 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>особено важно значение за ориентиране на студентите в политиките на ЕС</w:t>
      </w:r>
      <w:r w:rsidR="00FF0E03" w:rsidRPr="006A193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F0E03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доколкото те 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>оказва</w:t>
      </w:r>
      <w:r w:rsidR="00FF0E03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т 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определящо въздействие върху развитието на бизнес средата в България и задължително трябва да се преподава в </w:t>
      </w:r>
      <w:r w:rsidR="00FF0E03" w:rsidRPr="006A1937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рограмата. </w:t>
      </w:r>
    </w:p>
    <w:p w:rsidR="0015729E" w:rsidRPr="006A1937" w:rsidRDefault="0053722D" w:rsidP="005415D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Б) </w:t>
      </w:r>
      <w:r w:rsidR="00594099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Слабото одобрение на курса „Борсови пазари“ (41,2%) потвърждава една от оценките в предшестващия анализ </w:t>
      </w:r>
      <w:r w:rsidR="00FF0E03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594099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за неразвитостта на </w:t>
      </w:r>
      <w:r w:rsidR="00FF0E03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българския </w:t>
      </w:r>
      <w:r w:rsidR="00594099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бизнес и </w:t>
      </w:r>
      <w:r w:rsidR="00FF0E03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недостатъчното използване на възможностите на стоковите и преди всичко на фондовите борси </w:t>
      </w:r>
      <w:r w:rsidR="005415D6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– на последните </w:t>
      </w:r>
      <w:r w:rsidR="00FF0E03" w:rsidRPr="006A1937">
        <w:rPr>
          <w:rFonts w:ascii="Times New Roman" w:hAnsi="Times New Roman" w:cs="Times New Roman"/>
          <w:sz w:val="24"/>
          <w:szCs w:val="24"/>
          <w:lang w:val="bg-BG"/>
        </w:rPr>
        <w:t>като средство за привличане на капитали. Очевидн</w:t>
      </w:r>
      <w:r w:rsidR="0015729E" w:rsidRPr="006A1937">
        <w:rPr>
          <w:rFonts w:ascii="Times New Roman" w:hAnsi="Times New Roman" w:cs="Times New Roman"/>
          <w:sz w:val="24"/>
          <w:szCs w:val="24"/>
          <w:lang w:val="bg-BG"/>
        </w:rPr>
        <w:t>о е, че тази предметна област трябва да се запази и развива по-нататък.</w:t>
      </w:r>
    </w:p>
    <w:p w:rsidR="0053722D" w:rsidRPr="00497695" w:rsidRDefault="0015729E" w:rsidP="005415D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В) Най-ниско е одобрението </w:t>
      </w:r>
      <w:r w:rsidR="005415D6" w:rsidRPr="006A1937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>а курсове „Управление на националната икономика“ и „Макроикономически теории и анализи“ – съответно 36,9% и 35,89%. В сегашния му вид курсът „Макроикономически теории и анализи“ по принцип вече не се предлага на студентите. Необходимо е обаче, той да се актуализира като название и като съдържание,  и заедно с курса „Управление на националната икономика“ да бъде ориентиран към актуални проблеми на макроикономическата среда и перспективите за нейното развитие и преминаване от действащия „крайно неолиберал</w:t>
      </w:r>
      <w:r w:rsidR="005B7527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н“ икономически модел към по-успешния, </w:t>
      </w:r>
      <w:r w:rsidR="005B7527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>балансиран</w:t>
      </w:r>
      <w:r w:rsidR="005B7527">
        <w:rPr>
          <w:rFonts w:ascii="Times New Roman" w:hAnsi="Times New Roman" w:cs="Times New Roman"/>
          <w:sz w:val="24"/>
          <w:szCs w:val="24"/>
          <w:lang w:val="bg-BG"/>
        </w:rPr>
        <w:t xml:space="preserve"> (умерено неолиберален)“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 модел.</w:t>
      </w:r>
      <w:r w:rsidR="00594099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47CAA" w:rsidRPr="00497695" w:rsidRDefault="00647CAA" w:rsidP="00DB11FC">
      <w:pPr>
        <w:spacing w:before="120"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647CAA" w:rsidRPr="006A1937" w:rsidRDefault="00647CAA" w:rsidP="005415D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6A1937">
        <w:rPr>
          <w:rFonts w:ascii="Times New Roman" w:hAnsi="Times New Roman" w:cs="Times New Roman"/>
          <w:b/>
          <w:i/>
          <w:sz w:val="24"/>
          <w:szCs w:val="24"/>
          <w:lang w:val="bg-BG"/>
        </w:rPr>
        <w:t>3.2 Изводи относно актуалността на трите специализации в М</w:t>
      </w:r>
      <w:r w:rsidR="005B7527">
        <w:rPr>
          <w:rFonts w:ascii="Times New Roman" w:hAnsi="Times New Roman" w:cs="Times New Roman"/>
          <w:b/>
          <w:i/>
          <w:sz w:val="24"/>
          <w:szCs w:val="24"/>
          <w:lang w:val="bg-BG"/>
        </w:rPr>
        <w:t>П</w:t>
      </w:r>
      <w:r w:rsidRPr="006A1937">
        <w:rPr>
          <w:rFonts w:ascii="Times New Roman" w:hAnsi="Times New Roman" w:cs="Times New Roman"/>
          <w:b/>
          <w:i/>
          <w:sz w:val="24"/>
          <w:szCs w:val="24"/>
          <w:lang w:val="bg-BG"/>
        </w:rPr>
        <w:t>БА</w:t>
      </w:r>
    </w:p>
    <w:p w:rsidR="00E83411" w:rsidRPr="006A1937" w:rsidRDefault="00DB11FC" w:rsidP="005415D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Участниците в анкетното проучване определят значимостта за бизнеса на </w:t>
      </w:r>
      <w:r w:rsidR="00450225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специализация „Мениджмънт и лидерство“ с много високо одобрение (средно </w:t>
      </w:r>
      <w:r w:rsidR="005415D6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83% </w:t>
      </w:r>
      <w:r w:rsidR="00450225" w:rsidRPr="006A1937">
        <w:rPr>
          <w:rFonts w:ascii="Times New Roman" w:hAnsi="Times New Roman" w:cs="Times New Roman"/>
          <w:sz w:val="24"/>
          <w:szCs w:val="24"/>
          <w:lang w:val="bg-BG"/>
        </w:rPr>
        <w:t>за 7-те курса) като резултатите се движат в диапазона от 92 до 69%</w:t>
      </w:r>
      <w:r w:rsidR="00E83411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 и са най-високи за следните курсове:</w:t>
      </w:r>
      <w:r w:rsidR="00450225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>„Управленски процес и екипна дейност”, „Управление на проекти”, „Корпоративно управление и организационно развитие”</w:t>
      </w:r>
      <w:r w:rsidR="00E83411" w:rsidRPr="006A1937">
        <w:rPr>
          <w:rFonts w:ascii="Times New Roman" w:hAnsi="Times New Roman" w:cs="Times New Roman"/>
          <w:sz w:val="24"/>
          <w:szCs w:val="24"/>
          <w:lang w:val="bg-BG"/>
        </w:rPr>
        <w:t>, „Бизнес етика и корпоративна социална отговорност“. Като цяло мнението на представителите на българския бизнес в случая съвпада с констатираните в Доклада за глобалната конкурентоспособност области на изос</w:t>
      </w:r>
      <w:bookmarkStart w:id="1" w:name="_Toc377408007"/>
      <w:r w:rsidR="0036646B" w:rsidRPr="006A1937">
        <w:rPr>
          <w:rFonts w:ascii="Times New Roman" w:hAnsi="Times New Roman" w:cs="Times New Roman"/>
          <w:sz w:val="24"/>
          <w:szCs w:val="24"/>
          <w:lang w:val="bg-BG"/>
        </w:rPr>
        <w:t>таване в българската икономика.</w:t>
      </w:r>
    </w:p>
    <w:bookmarkEnd w:id="1"/>
    <w:p w:rsidR="00DB11FC" w:rsidRPr="006A1937" w:rsidRDefault="00DB11FC" w:rsidP="005415D6">
      <w:pPr>
        <w:spacing w:before="120"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A193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8106DFD" wp14:editId="29588058">
            <wp:extent cx="4842462" cy="2449810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740" cy="245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5D6" w:rsidRPr="006A1937" w:rsidRDefault="005415D6" w:rsidP="005415D6">
      <w:pPr>
        <w:spacing w:before="120"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6A1937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Фигура 1: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A1937">
        <w:rPr>
          <w:rFonts w:ascii="Times New Roman" w:hAnsi="Times New Roman" w:cs="Times New Roman"/>
          <w:sz w:val="24"/>
          <w:szCs w:val="24"/>
          <w:lang w:val="bg-BG"/>
        </w:rPr>
        <w:t>Ранжиране</w:t>
      </w:r>
      <w:proofErr w:type="spellEnd"/>
      <w:r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 по значимост на </w:t>
      </w:r>
      <w:r w:rsidR="00E53585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курсовете в 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>специализация „Мениджмънт и лидерство”</w:t>
      </w:r>
    </w:p>
    <w:p w:rsidR="00E83411" w:rsidRPr="00497695" w:rsidRDefault="00DB11FC" w:rsidP="005415D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Участниците в анкетното проучване определят значимостта за бизнеса </w:t>
      </w:r>
      <w:r w:rsidR="00E83411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E83411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специализация 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„Управление на човешките ресурси” </w:t>
      </w:r>
      <w:r w:rsidR="00E83411" w:rsidRPr="006A1937">
        <w:rPr>
          <w:rFonts w:ascii="Times New Roman" w:hAnsi="Times New Roman" w:cs="Times New Roman"/>
          <w:sz w:val="24"/>
          <w:szCs w:val="24"/>
          <w:lang w:val="bg-BG"/>
        </w:rPr>
        <w:t>с много високо одобрение (средн</w:t>
      </w:r>
      <w:r w:rsidR="005415D6" w:rsidRPr="006A1937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E83411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415D6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82,6% </w:t>
      </w:r>
      <w:r w:rsidR="00E83411" w:rsidRPr="006A1937">
        <w:rPr>
          <w:rFonts w:ascii="Times New Roman" w:hAnsi="Times New Roman" w:cs="Times New Roman"/>
          <w:sz w:val="24"/>
          <w:szCs w:val="24"/>
          <w:lang w:val="bg-BG"/>
        </w:rPr>
        <w:t>за 7-те курса</w:t>
      </w:r>
      <w:r w:rsidR="005415D6" w:rsidRPr="006A1937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E83411" w:rsidRPr="006A1937">
        <w:rPr>
          <w:rFonts w:ascii="Times New Roman" w:hAnsi="Times New Roman" w:cs="Times New Roman"/>
          <w:sz w:val="24"/>
          <w:szCs w:val="24"/>
          <w:lang w:val="bg-BG"/>
        </w:rPr>
        <w:t>. Резултатите се движат в диапазона от 92 до 67% и са най-високи за следните курсове: „</w:t>
      </w:r>
      <w:r w:rsidR="00F23A1B" w:rsidRPr="006A1937">
        <w:rPr>
          <w:rFonts w:ascii="Times New Roman" w:hAnsi="Times New Roman" w:cs="Times New Roman"/>
          <w:sz w:val="24"/>
          <w:szCs w:val="24"/>
          <w:lang w:val="bg-BG"/>
        </w:rPr>
        <w:t>Стратегия за управление на човешките ресурси</w:t>
      </w:r>
      <w:r w:rsidR="00E83411" w:rsidRPr="006A1937">
        <w:rPr>
          <w:rFonts w:ascii="Times New Roman" w:hAnsi="Times New Roman" w:cs="Times New Roman"/>
          <w:sz w:val="24"/>
          <w:szCs w:val="24"/>
          <w:lang w:val="bg-BG"/>
        </w:rPr>
        <w:t>”, „</w:t>
      </w:r>
      <w:r w:rsidR="00F23A1B" w:rsidRPr="006A1937">
        <w:rPr>
          <w:rFonts w:ascii="Times New Roman" w:hAnsi="Times New Roman" w:cs="Times New Roman"/>
          <w:sz w:val="24"/>
          <w:szCs w:val="24"/>
          <w:lang w:val="bg-BG"/>
        </w:rPr>
        <w:t>Подбор и управление на персонала в организациите“, „Трудови отношения, оценка и заплащане на труда“, „</w:t>
      </w:r>
      <w:r w:rsidR="00E83411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Управление на </w:t>
      </w:r>
      <w:r w:rsidR="00F23A1B" w:rsidRPr="006A1937">
        <w:rPr>
          <w:rFonts w:ascii="Times New Roman" w:hAnsi="Times New Roman" w:cs="Times New Roman"/>
          <w:sz w:val="24"/>
          <w:szCs w:val="24"/>
          <w:lang w:val="bg-BG"/>
        </w:rPr>
        <w:t>конфликти</w:t>
      </w:r>
      <w:r w:rsidR="00E83411" w:rsidRPr="006A1937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F23A1B" w:rsidRPr="006A1937">
        <w:rPr>
          <w:rFonts w:ascii="Times New Roman" w:hAnsi="Times New Roman" w:cs="Times New Roman"/>
          <w:sz w:val="24"/>
          <w:szCs w:val="24"/>
          <w:lang w:val="bg-BG"/>
        </w:rPr>
        <w:t>. И в този случай, к</w:t>
      </w:r>
      <w:r w:rsidR="00E83411" w:rsidRPr="006A1937">
        <w:rPr>
          <w:rFonts w:ascii="Times New Roman" w:hAnsi="Times New Roman" w:cs="Times New Roman"/>
          <w:sz w:val="24"/>
          <w:szCs w:val="24"/>
          <w:lang w:val="bg-BG"/>
        </w:rPr>
        <w:t>ато цяло</w:t>
      </w:r>
      <w:r w:rsidR="00F23A1B" w:rsidRPr="006A193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E83411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 мнението на представителите на българския бизнес </w:t>
      </w:r>
      <w:r w:rsidR="00F23A1B"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в значителна степен съвпада с </w:t>
      </w:r>
      <w:r w:rsidR="00E83411" w:rsidRPr="006A1937">
        <w:rPr>
          <w:rFonts w:ascii="Times New Roman" w:hAnsi="Times New Roman" w:cs="Times New Roman"/>
          <w:sz w:val="24"/>
          <w:szCs w:val="24"/>
          <w:lang w:val="bg-BG"/>
        </w:rPr>
        <w:t>констатираните в Доклада за глобалната конкурентоспособност области на изо</w:t>
      </w:r>
      <w:r w:rsidR="005415D6" w:rsidRPr="006A1937">
        <w:rPr>
          <w:rFonts w:ascii="Times New Roman" w:hAnsi="Times New Roman" w:cs="Times New Roman"/>
          <w:sz w:val="24"/>
          <w:szCs w:val="24"/>
          <w:lang w:val="bg-BG"/>
        </w:rPr>
        <w:t>ставане</w:t>
      </w:r>
      <w:r w:rsidR="005415D6">
        <w:rPr>
          <w:rFonts w:ascii="Times New Roman" w:hAnsi="Times New Roman" w:cs="Times New Roman"/>
          <w:sz w:val="24"/>
          <w:szCs w:val="24"/>
          <w:lang w:val="bg-BG"/>
        </w:rPr>
        <w:t xml:space="preserve"> в българската икономика.</w:t>
      </w:r>
    </w:p>
    <w:p w:rsidR="00DB11FC" w:rsidRPr="00497695" w:rsidRDefault="00DB11FC" w:rsidP="00DB11FC">
      <w:pPr>
        <w:spacing w:before="120"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4976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EB7531" wp14:editId="43FBCD2A">
            <wp:extent cx="4890789" cy="2474258"/>
            <wp:effectExtent l="0" t="0" r="508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092" cy="247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5D6" w:rsidRDefault="005415D6" w:rsidP="00F23A1B">
      <w:pPr>
        <w:spacing w:before="120"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5415D6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Фигура 2:</w:t>
      </w:r>
      <w:r w:rsidRPr="005415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415D6">
        <w:rPr>
          <w:rFonts w:ascii="Times New Roman" w:hAnsi="Times New Roman" w:cs="Times New Roman"/>
          <w:sz w:val="24"/>
          <w:szCs w:val="24"/>
          <w:lang w:val="bg-BG"/>
        </w:rPr>
        <w:t>Ранжиране</w:t>
      </w:r>
      <w:proofErr w:type="spellEnd"/>
      <w:r w:rsidRPr="005415D6">
        <w:rPr>
          <w:rFonts w:ascii="Times New Roman" w:hAnsi="Times New Roman" w:cs="Times New Roman"/>
          <w:sz w:val="24"/>
          <w:szCs w:val="24"/>
          <w:lang w:val="bg-BG"/>
        </w:rPr>
        <w:t xml:space="preserve"> по значимост на </w:t>
      </w:r>
      <w:r w:rsidR="00E53585">
        <w:rPr>
          <w:rFonts w:ascii="Times New Roman" w:hAnsi="Times New Roman" w:cs="Times New Roman"/>
          <w:sz w:val="24"/>
          <w:szCs w:val="24"/>
          <w:lang w:val="bg-BG"/>
        </w:rPr>
        <w:t>курсовете в</w:t>
      </w:r>
      <w:r w:rsidRPr="005415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специализация </w:t>
      </w:r>
      <w:r w:rsidRPr="005415D6">
        <w:rPr>
          <w:rFonts w:ascii="Times New Roman" w:hAnsi="Times New Roman" w:cs="Times New Roman"/>
          <w:sz w:val="24"/>
          <w:szCs w:val="24"/>
          <w:lang w:val="bg-BG"/>
        </w:rPr>
        <w:t xml:space="preserve">„Управление на човешките ресурси” </w:t>
      </w:r>
    </w:p>
    <w:p w:rsidR="00F23A1B" w:rsidRPr="00497695" w:rsidRDefault="005415D6" w:rsidP="00F23A1B">
      <w:pPr>
        <w:spacing w:before="120"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</w:t>
      </w:r>
      <w:r w:rsidR="00F23A1B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частниците в анкетното проучване определят значимостта за бизнеса и на специализация „Управление на маркетинга“ с много високо одобрение (средна оценка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73,7% </w:t>
      </w:r>
      <w:r w:rsidR="00F23A1B" w:rsidRPr="00497695">
        <w:rPr>
          <w:rFonts w:ascii="Times New Roman" w:hAnsi="Times New Roman" w:cs="Times New Roman"/>
          <w:sz w:val="24"/>
          <w:szCs w:val="24"/>
          <w:lang w:val="bg-BG"/>
        </w:rPr>
        <w:t>за 7-те курса</w:t>
      </w:r>
      <w:r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F23A1B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. Резултатите се движат в диапазона от 92 до 64% и са най-високи за </w:t>
      </w:r>
      <w:r w:rsidR="00F23A1B" w:rsidRPr="00497695">
        <w:rPr>
          <w:rFonts w:ascii="Times New Roman" w:hAnsi="Times New Roman" w:cs="Times New Roman"/>
          <w:sz w:val="24"/>
          <w:szCs w:val="24"/>
          <w:lang w:val="bg-BG"/>
        </w:rPr>
        <w:lastRenderedPageBreak/>
        <w:t>следните курсове: „Продуктова, иновационна и ценова политика”, „Електронна търговия и маркетинг по интернет”, „Стратегически маркетинг и мениджмънт”, „Мениджмънт на маркетинговите комуникации“. И в този случай, като цяло, мнението на представителите на българския бизнес в значителна степен съвпада с констатираните в Доклада за глобалната конкурентоспособност области на изос</w:t>
      </w:r>
      <w:r w:rsidR="0036646B">
        <w:rPr>
          <w:rFonts w:ascii="Times New Roman" w:hAnsi="Times New Roman" w:cs="Times New Roman"/>
          <w:sz w:val="24"/>
          <w:szCs w:val="24"/>
          <w:lang w:val="bg-BG"/>
        </w:rPr>
        <w:t>таване в българската икономика.</w:t>
      </w:r>
    </w:p>
    <w:p w:rsidR="00DB11FC" w:rsidRPr="00497695" w:rsidRDefault="00DB11FC" w:rsidP="005415D6">
      <w:pPr>
        <w:spacing w:before="120"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4976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FAA178" wp14:editId="031150F0">
            <wp:extent cx="4649147" cy="235201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391" cy="235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5D6" w:rsidRPr="00497695" w:rsidRDefault="005415D6" w:rsidP="005415D6">
      <w:pPr>
        <w:spacing w:before="120"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bookmarkStart w:id="2" w:name="_Toc377408011"/>
      <w:r w:rsidRPr="005415D6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Фигура 3</w:t>
      </w:r>
      <w:r w:rsidRPr="00334718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334718" w:rsidRPr="0033471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497695">
        <w:rPr>
          <w:rFonts w:ascii="Times New Roman" w:hAnsi="Times New Roman" w:cs="Times New Roman"/>
          <w:sz w:val="24"/>
          <w:szCs w:val="24"/>
          <w:lang w:val="bg-BG"/>
        </w:rPr>
        <w:t>Ранжиране</w:t>
      </w:r>
      <w:proofErr w:type="spellEnd"/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по значимост на </w:t>
      </w:r>
      <w:r w:rsidR="00E53585">
        <w:rPr>
          <w:rFonts w:ascii="Times New Roman" w:hAnsi="Times New Roman" w:cs="Times New Roman"/>
          <w:sz w:val="24"/>
          <w:szCs w:val="24"/>
          <w:lang w:val="bg-BG"/>
        </w:rPr>
        <w:t xml:space="preserve">курсовете в специализация 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„Управление на маркетинга” </w:t>
      </w:r>
      <w:bookmarkEnd w:id="2"/>
    </w:p>
    <w:p w:rsidR="00034860" w:rsidRDefault="00034860" w:rsidP="00DB11FC">
      <w:pPr>
        <w:spacing w:before="120"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49769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Изводи за М</w:t>
      </w:r>
      <w:r w:rsidR="005B7527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</w:t>
      </w:r>
      <w:r w:rsidRPr="0049769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БА</w:t>
      </w:r>
    </w:p>
    <w:p w:rsidR="00034860" w:rsidRPr="00497695" w:rsidRDefault="00034860" w:rsidP="00E5358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7695">
        <w:rPr>
          <w:rFonts w:ascii="Times New Roman" w:hAnsi="Times New Roman" w:cs="Times New Roman"/>
          <w:sz w:val="24"/>
          <w:szCs w:val="24"/>
          <w:lang w:val="bg-BG"/>
        </w:rPr>
        <w:t>Първо, трите специализации в действащата М</w:t>
      </w:r>
      <w:r w:rsidR="005B7527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БА на НБУ, редовно обучение, както и всички включени в тях учебни курсове се ползват с голямо одобрение от представителите на българския бизнес и трябва да продължат </w:t>
      </w:r>
      <w:r w:rsidR="00900925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своето 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съществуване. </w:t>
      </w:r>
    </w:p>
    <w:p w:rsidR="00034860" w:rsidRPr="00497695" w:rsidRDefault="00034860" w:rsidP="00E5358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Второ, представителите на бизнеса предлагат създаването на две нови специализации „Подготовка и управление на проекти“ и „Корпоративна социална отговорност и корпоративно управление“ с одобрение, съответно – 64,10% и 53,85%. </w:t>
      </w:r>
    </w:p>
    <w:p w:rsidR="00DB11FC" w:rsidRPr="006A1937" w:rsidRDefault="00900925" w:rsidP="00E5358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937">
        <w:rPr>
          <w:rFonts w:ascii="Times New Roman" w:hAnsi="Times New Roman" w:cs="Times New Roman"/>
          <w:sz w:val="24"/>
          <w:szCs w:val="24"/>
          <w:lang w:val="bg-BG"/>
        </w:rPr>
        <w:t>Трето, резултатите от анкетното проучване показват като общи области с голяма значимост за работодателите управлението на човешките ресурси, мениджмънта, комуникациите и работата в екип, корпоративната социална отговорност</w:t>
      </w:r>
      <w:r w:rsidR="006A193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53585" w:rsidRPr="006A1937" w:rsidRDefault="00E53585" w:rsidP="001D0D26">
      <w:pPr>
        <w:spacing w:before="120"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DB11FC" w:rsidRPr="00E53585" w:rsidRDefault="000911F7" w:rsidP="001D0D26">
      <w:pPr>
        <w:spacing w:before="120"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A1937">
        <w:rPr>
          <w:rFonts w:ascii="Times New Roman" w:hAnsi="Times New Roman" w:cs="Times New Roman"/>
          <w:b/>
          <w:sz w:val="24"/>
          <w:szCs w:val="24"/>
          <w:lang w:val="bg-BG"/>
        </w:rPr>
        <w:t xml:space="preserve">4. Изводи и препоръки от Доклада за извършен </w:t>
      </w:r>
      <w:proofErr w:type="spellStart"/>
      <w:r w:rsidRPr="006A1937">
        <w:rPr>
          <w:rFonts w:ascii="Times New Roman" w:hAnsi="Times New Roman" w:cs="Times New Roman"/>
          <w:b/>
          <w:sz w:val="24"/>
          <w:szCs w:val="24"/>
          <w:lang w:val="bg-BG"/>
        </w:rPr>
        <w:t>бенчмаркинг</w:t>
      </w:r>
      <w:proofErr w:type="spellEnd"/>
      <w:r w:rsidRPr="006A193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анализ</w:t>
      </w:r>
      <w:r w:rsidRPr="00E5358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структурата и съдържанието на учебните програми</w:t>
      </w:r>
      <w:r w:rsidR="00E5358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 </w:t>
      </w:r>
      <w:r w:rsidRPr="00E53585">
        <w:rPr>
          <w:rFonts w:ascii="Times New Roman" w:hAnsi="Times New Roman" w:cs="Times New Roman"/>
          <w:b/>
          <w:sz w:val="24"/>
          <w:szCs w:val="24"/>
          <w:lang w:val="bg-BG"/>
        </w:rPr>
        <w:t>избрани университети</w:t>
      </w:r>
    </w:p>
    <w:p w:rsidR="000911F7" w:rsidRPr="006A1937" w:rsidRDefault="005E0CE8" w:rsidP="00E5358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937">
        <w:rPr>
          <w:rFonts w:ascii="Times New Roman" w:hAnsi="Times New Roman" w:cs="Times New Roman"/>
          <w:sz w:val="24"/>
          <w:szCs w:val="24"/>
          <w:lang w:val="bg-BG"/>
        </w:rPr>
        <w:t>Сравнителният анализ в този доклад подсказва някои идеи за усъвършенстване на М</w:t>
      </w:r>
      <w:r w:rsidR="005B7527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6A1937">
        <w:rPr>
          <w:rFonts w:ascii="Times New Roman" w:hAnsi="Times New Roman" w:cs="Times New Roman"/>
          <w:sz w:val="24"/>
          <w:szCs w:val="24"/>
          <w:lang w:val="bg-BG"/>
        </w:rPr>
        <w:t>БА и обучението в НБУ.</w:t>
      </w:r>
    </w:p>
    <w:p w:rsidR="005E0CE8" w:rsidRPr="0050313C" w:rsidRDefault="005E0CE8" w:rsidP="00E5358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Първо, прави впечатление, че в германския университет </w:t>
      </w:r>
      <w:proofErr w:type="spellStart"/>
      <w:r w:rsidRPr="006A1937">
        <w:rPr>
          <w:rFonts w:ascii="Times New Roman" w:hAnsi="Times New Roman" w:cs="Times New Roman"/>
          <w:sz w:val="24"/>
          <w:szCs w:val="24"/>
          <w:lang w:val="bg-BG"/>
        </w:rPr>
        <w:t>Пасау</w:t>
      </w:r>
      <w:proofErr w:type="spellEnd"/>
      <w:r w:rsidRPr="006A1937">
        <w:rPr>
          <w:rFonts w:ascii="Times New Roman" w:hAnsi="Times New Roman" w:cs="Times New Roman"/>
          <w:sz w:val="24"/>
          <w:szCs w:val="24"/>
          <w:lang w:val="bg-BG"/>
        </w:rPr>
        <w:t xml:space="preserve"> функционира икономически факултет, структуриран в пет направления и 20 катедри, което предполага внушителен академичен състав. Същевременно тази институция, разполагаща с голям потенциал, предлага само две бакалавърски и три магистърски програми</w:t>
      </w: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. В този контекст е целесъобразно </w:t>
      </w:r>
      <w:r w:rsidRPr="0050313C">
        <w:rPr>
          <w:rFonts w:ascii="Times New Roman" w:hAnsi="Times New Roman" w:cs="Times New Roman"/>
          <w:sz w:val="24"/>
          <w:szCs w:val="24"/>
          <w:lang w:val="bg-BG"/>
        </w:rPr>
        <w:t xml:space="preserve">участващите в настоящия проект два департамента на НБУ да обсъдят </w:t>
      </w:r>
      <w:r w:rsidR="00AD42C6" w:rsidRPr="0050313C">
        <w:rPr>
          <w:rFonts w:ascii="Times New Roman" w:hAnsi="Times New Roman" w:cs="Times New Roman"/>
          <w:sz w:val="24"/>
          <w:szCs w:val="24"/>
          <w:lang w:val="bg-BG"/>
        </w:rPr>
        <w:t xml:space="preserve">следния проблем: </w:t>
      </w:r>
      <w:r w:rsidRPr="0050313C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кое е оптималното „съотношение между разполагаемия академичен </w:t>
      </w:r>
      <w:r w:rsidRPr="0050313C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състав, от една страна, и броя на предлаганите бакалавърски и магистърски програми, от друга страна</w:t>
      </w:r>
      <w:r w:rsidR="005B7527"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  <w:r w:rsidR="00AD42C6" w:rsidRPr="0050313C">
        <w:rPr>
          <w:rFonts w:ascii="Times New Roman" w:hAnsi="Times New Roman" w:cs="Times New Roman"/>
          <w:b/>
          <w:sz w:val="24"/>
          <w:szCs w:val="24"/>
          <w:lang w:val="bg-BG"/>
        </w:rPr>
        <w:t xml:space="preserve">? </w:t>
      </w:r>
    </w:p>
    <w:p w:rsidR="00D27BC3" w:rsidRPr="0050313C" w:rsidRDefault="00AD42C6" w:rsidP="00E5358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0313C">
        <w:rPr>
          <w:rFonts w:ascii="Times New Roman" w:hAnsi="Times New Roman" w:cs="Times New Roman"/>
          <w:sz w:val="24"/>
          <w:szCs w:val="24"/>
          <w:lang w:val="bg-BG"/>
        </w:rPr>
        <w:t xml:space="preserve">Второ, на стр. 19-21 в доклада за бенчмаркинга е представено съдържанието на магистърска програма „Бизнес администрация“, предлагана от университета в </w:t>
      </w:r>
      <w:proofErr w:type="spellStart"/>
      <w:r w:rsidRPr="0050313C">
        <w:rPr>
          <w:rFonts w:ascii="Times New Roman" w:hAnsi="Times New Roman" w:cs="Times New Roman"/>
          <w:sz w:val="24"/>
          <w:szCs w:val="24"/>
          <w:lang w:val="bg-BG"/>
        </w:rPr>
        <w:t>Пасау</w:t>
      </w:r>
      <w:proofErr w:type="spellEnd"/>
      <w:r w:rsidRPr="0050313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D27BC3" w:rsidRPr="0050313C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Pr="0050313C">
        <w:rPr>
          <w:rFonts w:ascii="Times New Roman" w:hAnsi="Times New Roman" w:cs="Times New Roman"/>
          <w:sz w:val="24"/>
          <w:szCs w:val="24"/>
          <w:lang w:val="bg-BG"/>
        </w:rPr>
        <w:t xml:space="preserve">ато </w:t>
      </w:r>
      <w:r w:rsidR="00D27BC3" w:rsidRPr="0050313C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50313C">
        <w:rPr>
          <w:rFonts w:ascii="Times New Roman" w:hAnsi="Times New Roman" w:cs="Times New Roman"/>
          <w:sz w:val="24"/>
          <w:szCs w:val="24"/>
          <w:lang w:val="bg-BG"/>
        </w:rPr>
        <w:t>задължително избираеми</w:t>
      </w:r>
      <w:r w:rsidR="00D27BC3" w:rsidRPr="0050313C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50313C">
        <w:rPr>
          <w:rFonts w:ascii="Times New Roman" w:hAnsi="Times New Roman" w:cs="Times New Roman"/>
          <w:sz w:val="24"/>
          <w:szCs w:val="24"/>
          <w:lang w:val="bg-BG"/>
        </w:rPr>
        <w:t xml:space="preserve"> в програмата са </w:t>
      </w:r>
      <w:r w:rsidR="00D27BC3" w:rsidRPr="0050313C">
        <w:rPr>
          <w:rFonts w:ascii="Times New Roman" w:hAnsi="Times New Roman" w:cs="Times New Roman"/>
          <w:sz w:val="24"/>
          <w:szCs w:val="24"/>
          <w:lang w:val="bg-BG"/>
        </w:rPr>
        <w:t xml:space="preserve">посочени </w:t>
      </w:r>
      <w:r w:rsidRPr="0050313C">
        <w:rPr>
          <w:rFonts w:ascii="Times New Roman" w:hAnsi="Times New Roman" w:cs="Times New Roman"/>
          <w:sz w:val="24"/>
          <w:szCs w:val="24"/>
          <w:lang w:val="bg-BG"/>
        </w:rPr>
        <w:t xml:space="preserve">модулни групи „Методи“ и „Основи“. В </w:t>
      </w:r>
      <w:r w:rsidR="00D27BC3" w:rsidRPr="0050313C">
        <w:rPr>
          <w:rFonts w:ascii="Times New Roman" w:hAnsi="Times New Roman" w:cs="Times New Roman"/>
          <w:sz w:val="24"/>
          <w:szCs w:val="24"/>
          <w:lang w:val="bg-BG"/>
        </w:rPr>
        <w:t xml:space="preserve">модулна група „Методи“ </w:t>
      </w:r>
      <w:r w:rsidRPr="0050313C">
        <w:rPr>
          <w:rFonts w:ascii="Times New Roman" w:hAnsi="Times New Roman" w:cs="Times New Roman"/>
          <w:sz w:val="24"/>
          <w:szCs w:val="24"/>
          <w:lang w:val="bg-BG"/>
        </w:rPr>
        <w:t>са включени следните курсове: Количествени методи във финансите, Анализ на панелни данни, Мултивариантни модели, Методи на иконометрията, Емпиричен икономически анализ, Иконометрия на времеви редове, Компютърна статистика 1 и 2, Статистически методи за напреднали, Семинар приложна статистика, Изследване на операциите, Изследователски методи на икономическата информатика и т.н.</w:t>
      </w:r>
      <w:r w:rsidR="00D27BC3" w:rsidRPr="0050313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D42C6" w:rsidRPr="00497695" w:rsidRDefault="00D27BC3" w:rsidP="00E5358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0313C">
        <w:rPr>
          <w:rFonts w:ascii="Times New Roman" w:hAnsi="Times New Roman" w:cs="Times New Roman"/>
          <w:sz w:val="24"/>
          <w:szCs w:val="24"/>
          <w:lang w:val="bg-BG"/>
        </w:rPr>
        <w:t xml:space="preserve">Интерес представляват и редица курсове в модулна група „Основи“, като например: </w:t>
      </w:r>
      <w:r w:rsidRPr="005031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Корпоративни финанси за напреднали, Финансов контролинг 1 и 2, Финансов инженеринг и структурирани финанси, Данъчно влияние и данъчно планиране, Данъчни аспекти на сливанията, Интернационални бизнес данъци, Стойностно ориентиран контролинг, Счетоводство на финансови инструменти.</w:t>
      </w:r>
    </w:p>
    <w:p w:rsidR="00D27BC3" w:rsidRPr="00E53585" w:rsidRDefault="00D27BC3" w:rsidP="00E5358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49769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Може с увереност да се каже, че подобни курсове не фигурират в М</w:t>
      </w:r>
      <w:r w:rsidR="005B75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</w:t>
      </w:r>
      <w:r w:rsidRPr="0049769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БА на НБУ. </w:t>
      </w:r>
      <w:r w:rsidRPr="00E53585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Това е повод да се </w:t>
      </w:r>
      <w:r w:rsidR="00074173" w:rsidRPr="00E53585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планира значително увеличаване на потенциала и капацитета на двата департамента, за да стане възможно преподаването на подобни курсове в перспектива. </w:t>
      </w:r>
    </w:p>
    <w:p w:rsidR="00074173" w:rsidRPr="00497695" w:rsidRDefault="00074173" w:rsidP="00E5358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9769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Трето, в доклада за бенчмаркинга се съдържа следното целесъобразно предложение: едно от направленията за </w:t>
      </w:r>
      <w:r w:rsidR="00E53585" w:rsidRPr="0049769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усъвършенстване</w:t>
      </w:r>
      <w:r w:rsidRPr="0049769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програмите на двата департамента в НБУ е „въвеждането на повече </w:t>
      </w:r>
      <w:r w:rsidRPr="0049769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интернационално и глобално</w:t>
      </w:r>
      <w:r w:rsidRPr="0049769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Това се отнася както за нови курсове или модули от курсове, предимно в магистърските програми, така и за бакалавърските, но в по-ограничен обем. Освен това може да се включат и интернационални и глобални компоненти в значителна част от съществуващи курсове.“</w:t>
      </w:r>
    </w:p>
    <w:p w:rsidR="00D96EC7" w:rsidRPr="00497695" w:rsidRDefault="00D96EC7" w:rsidP="00E5358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74173" w:rsidRPr="00497695" w:rsidRDefault="00074173" w:rsidP="00E5358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97695">
        <w:rPr>
          <w:rFonts w:ascii="Times New Roman" w:hAnsi="Times New Roman" w:cs="Times New Roman"/>
          <w:b/>
          <w:sz w:val="24"/>
          <w:szCs w:val="24"/>
          <w:lang w:val="bg-BG"/>
        </w:rPr>
        <w:t xml:space="preserve">5. Тенденции в световната образователна практика според </w:t>
      </w:r>
      <w:r w:rsidR="009B298B" w:rsidRPr="00497695">
        <w:rPr>
          <w:rFonts w:ascii="Times New Roman" w:hAnsi="Times New Roman" w:cs="Times New Roman"/>
          <w:b/>
          <w:sz w:val="24"/>
          <w:szCs w:val="24"/>
          <w:lang w:val="bg-BG"/>
        </w:rPr>
        <w:t>д</w:t>
      </w:r>
      <w:r w:rsidRPr="0049769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оклада </w:t>
      </w:r>
      <w:r w:rsidR="009B298B" w:rsidRPr="0049769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 2013/2014 г. </w:t>
      </w:r>
      <w:r w:rsidRPr="0049769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 английската компания QS </w:t>
      </w:r>
      <w:proofErr w:type="spellStart"/>
      <w:r w:rsidRPr="00497695">
        <w:rPr>
          <w:rFonts w:ascii="Times New Roman" w:hAnsi="Times New Roman" w:cs="Times New Roman"/>
          <w:b/>
          <w:sz w:val="24"/>
          <w:szCs w:val="24"/>
          <w:lang w:val="bg-BG"/>
        </w:rPr>
        <w:t>TopMBA</w:t>
      </w:r>
      <w:proofErr w:type="spellEnd"/>
      <w:r w:rsidR="00406946">
        <w:rPr>
          <w:rStyle w:val="FootnoteReference"/>
          <w:rFonts w:ascii="Times New Roman" w:hAnsi="Times New Roman" w:cs="Times New Roman"/>
          <w:b/>
          <w:sz w:val="24"/>
          <w:szCs w:val="24"/>
          <w:lang w:val="bg-BG"/>
        </w:rPr>
        <w:footnoteReference w:id="6"/>
      </w:r>
      <w:r w:rsidRPr="0049769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 тенденциите в наемането на работа и заплащането на студенти, завършили най-добрите световни М</w:t>
      </w:r>
      <w:r w:rsidR="005B7527">
        <w:rPr>
          <w:rFonts w:ascii="Times New Roman" w:hAnsi="Times New Roman" w:cs="Times New Roman"/>
          <w:b/>
          <w:sz w:val="24"/>
          <w:szCs w:val="24"/>
          <w:lang w:val="bg-BG"/>
        </w:rPr>
        <w:t>П</w:t>
      </w:r>
      <w:r w:rsidRPr="0049769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БА.  </w:t>
      </w:r>
    </w:p>
    <w:p w:rsidR="00376564" w:rsidRPr="00497695" w:rsidRDefault="009B298B" w:rsidP="00E5358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В доклада на QS </w:t>
      </w:r>
      <w:proofErr w:type="spellStart"/>
      <w:r w:rsidRPr="00497695">
        <w:rPr>
          <w:rFonts w:ascii="Times New Roman" w:hAnsi="Times New Roman" w:cs="Times New Roman"/>
          <w:sz w:val="24"/>
          <w:szCs w:val="24"/>
          <w:lang w:val="bg-BG"/>
        </w:rPr>
        <w:t>Top</w:t>
      </w:r>
      <w:proofErr w:type="spellEnd"/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MBA</w:t>
      </w:r>
      <w:r w:rsidR="00376564"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 за 2013/2014 г. се съдържа важна информация, която съществено допълва анализа в доклада за бенчмаркинга на НБУ.  </w:t>
      </w:r>
    </w:p>
    <w:p w:rsidR="009B298B" w:rsidRPr="00497695" w:rsidRDefault="00376564" w:rsidP="00E5358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7695">
        <w:rPr>
          <w:rFonts w:ascii="Times New Roman" w:hAnsi="Times New Roman" w:cs="Times New Roman"/>
          <w:sz w:val="24"/>
          <w:szCs w:val="24"/>
          <w:lang w:val="bg-BG"/>
        </w:rPr>
        <w:t xml:space="preserve">Първо, в него са </w:t>
      </w:r>
      <w:r w:rsidR="009B298B" w:rsidRPr="00497695">
        <w:rPr>
          <w:rFonts w:ascii="Times New Roman" w:hAnsi="Times New Roman" w:cs="Times New Roman"/>
          <w:sz w:val="24"/>
          <w:szCs w:val="24"/>
          <w:lang w:val="bg-BG"/>
        </w:rPr>
        <w:t>посочени 5-те основни умения, които се търсят от работодателите при наемане на завършилите М</w:t>
      </w:r>
      <w:r w:rsidR="005B7527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9B298B" w:rsidRPr="00497695">
        <w:rPr>
          <w:rFonts w:ascii="Times New Roman" w:hAnsi="Times New Roman" w:cs="Times New Roman"/>
          <w:sz w:val="24"/>
          <w:szCs w:val="24"/>
          <w:lang w:val="bg-BG"/>
        </w:rPr>
        <w:t>БА:</w:t>
      </w:r>
    </w:p>
    <w:p w:rsidR="009B298B" w:rsidRPr="00497695" w:rsidRDefault="009B298B" w:rsidP="00E5358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en-US"/>
        </w:rPr>
      </w:pPr>
      <w:r w:rsidRPr="00497695">
        <w:rPr>
          <w:rFonts w:ascii="Times New Roman" w:hAnsi="Times New Roman" w:cs="Times New Roman"/>
          <w:sz w:val="24"/>
          <w:szCs w:val="24"/>
          <w:lang w:val="bg-BG"/>
        </w:rPr>
        <w:t>- умения за междуличностно общуване (</w:t>
      </w:r>
      <w:proofErr w:type="spellStart"/>
      <w:r w:rsidRPr="00497695">
        <w:rPr>
          <w:rFonts w:ascii="Times New Roman" w:hAnsi="Times New Roman" w:cs="Times New Roman"/>
          <w:sz w:val="24"/>
          <w:szCs w:val="24"/>
          <w:lang w:val="bg-BG" w:bidi="en-US"/>
        </w:rPr>
        <w:t>Interpersonal</w:t>
      </w:r>
      <w:proofErr w:type="spellEnd"/>
      <w:r w:rsidRPr="00497695">
        <w:rPr>
          <w:rFonts w:ascii="Times New Roman" w:hAnsi="Times New Roman" w:cs="Times New Roman"/>
          <w:sz w:val="24"/>
          <w:szCs w:val="24"/>
          <w:lang w:val="bg-BG" w:bidi="en-US"/>
        </w:rPr>
        <w:t xml:space="preserve"> </w:t>
      </w:r>
      <w:proofErr w:type="spellStart"/>
      <w:r w:rsidRPr="00497695">
        <w:rPr>
          <w:rFonts w:ascii="Times New Roman" w:hAnsi="Times New Roman" w:cs="Times New Roman"/>
          <w:sz w:val="24"/>
          <w:szCs w:val="24"/>
          <w:lang w:val="bg-BG" w:bidi="en-US"/>
        </w:rPr>
        <w:t>skills</w:t>
      </w:r>
      <w:proofErr w:type="spellEnd"/>
      <w:r w:rsidRPr="00497695">
        <w:rPr>
          <w:rFonts w:ascii="Times New Roman" w:hAnsi="Times New Roman" w:cs="Times New Roman"/>
          <w:sz w:val="24"/>
          <w:szCs w:val="24"/>
          <w:lang w:val="bg-BG" w:bidi="en-US"/>
        </w:rPr>
        <w:t>);</w:t>
      </w:r>
    </w:p>
    <w:p w:rsidR="009B298B" w:rsidRPr="00497695" w:rsidRDefault="009B298B" w:rsidP="00E5358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g-BG" w:bidi="en-US"/>
        </w:rPr>
      </w:pPr>
      <w:r w:rsidRPr="00497695">
        <w:rPr>
          <w:rFonts w:ascii="Times New Roman" w:hAnsi="Times New Roman" w:cs="Times New Roman"/>
          <w:sz w:val="24"/>
          <w:szCs w:val="24"/>
          <w:lang w:val="bg-BG" w:bidi="en-US"/>
        </w:rPr>
        <w:t>- стратегическо мислене (</w:t>
      </w:r>
      <w:proofErr w:type="spellStart"/>
      <w:r w:rsidRPr="00497695">
        <w:rPr>
          <w:rFonts w:ascii="Times New Roman" w:hAnsi="Times New Roman" w:cs="Times New Roman"/>
          <w:bCs/>
          <w:sz w:val="24"/>
          <w:szCs w:val="24"/>
          <w:lang w:val="bg-BG" w:bidi="en-US"/>
        </w:rPr>
        <w:t>Strategic</w:t>
      </w:r>
      <w:proofErr w:type="spellEnd"/>
      <w:r w:rsidRPr="00497695">
        <w:rPr>
          <w:rFonts w:ascii="Times New Roman" w:hAnsi="Times New Roman" w:cs="Times New Roman"/>
          <w:bCs/>
          <w:sz w:val="24"/>
          <w:szCs w:val="24"/>
          <w:lang w:val="bg-BG" w:bidi="en-US"/>
        </w:rPr>
        <w:t xml:space="preserve"> </w:t>
      </w:r>
      <w:proofErr w:type="spellStart"/>
      <w:r w:rsidRPr="00497695">
        <w:rPr>
          <w:rFonts w:ascii="Times New Roman" w:hAnsi="Times New Roman" w:cs="Times New Roman"/>
          <w:bCs/>
          <w:sz w:val="24"/>
          <w:szCs w:val="24"/>
          <w:lang w:val="bg-BG" w:bidi="en-US"/>
        </w:rPr>
        <w:t>thinking</w:t>
      </w:r>
      <w:proofErr w:type="spellEnd"/>
      <w:r w:rsidRPr="00497695">
        <w:rPr>
          <w:rFonts w:ascii="Times New Roman" w:hAnsi="Times New Roman" w:cs="Times New Roman"/>
          <w:bCs/>
          <w:sz w:val="24"/>
          <w:szCs w:val="24"/>
          <w:lang w:val="bg-BG" w:bidi="en-US"/>
        </w:rPr>
        <w:t>);</w:t>
      </w:r>
    </w:p>
    <w:p w:rsidR="009B298B" w:rsidRPr="00497695" w:rsidRDefault="009B298B" w:rsidP="00E5358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g-BG" w:bidi="en-US"/>
        </w:rPr>
      </w:pPr>
      <w:r w:rsidRPr="00497695">
        <w:rPr>
          <w:rFonts w:ascii="Times New Roman" w:hAnsi="Times New Roman" w:cs="Times New Roman"/>
          <w:bCs/>
          <w:sz w:val="24"/>
          <w:szCs w:val="24"/>
          <w:lang w:val="bg-BG" w:bidi="en-US"/>
        </w:rPr>
        <w:t xml:space="preserve">- </w:t>
      </w:r>
      <w:r w:rsidRPr="00497695">
        <w:rPr>
          <w:rFonts w:ascii="Times New Roman" w:hAnsi="Times New Roman" w:cs="Times New Roman"/>
          <w:sz w:val="24"/>
          <w:szCs w:val="24"/>
          <w:lang w:val="bg-BG" w:bidi="en-US"/>
        </w:rPr>
        <w:t>предприемачески умения (</w:t>
      </w:r>
      <w:proofErr w:type="spellStart"/>
      <w:r w:rsidRPr="00497695">
        <w:rPr>
          <w:rFonts w:ascii="Times New Roman" w:hAnsi="Times New Roman" w:cs="Times New Roman"/>
          <w:bCs/>
          <w:sz w:val="24"/>
          <w:szCs w:val="24"/>
          <w:lang w:val="bg-BG" w:bidi="en-US"/>
        </w:rPr>
        <w:t>Entrepreneurial</w:t>
      </w:r>
      <w:proofErr w:type="spellEnd"/>
      <w:r w:rsidRPr="00497695">
        <w:rPr>
          <w:rFonts w:ascii="Times New Roman" w:hAnsi="Times New Roman" w:cs="Times New Roman"/>
          <w:bCs/>
          <w:sz w:val="24"/>
          <w:szCs w:val="24"/>
          <w:lang w:val="bg-BG" w:bidi="en-US"/>
        </w:rPr>
        <w:t xml:space="preserve"> </w:t>
      </w:r>
      <w:proofErr w:type="spellStart"/>
      <w:r w:rsidRPr="00497695">
        <w:rPr>
          <w:rFonts w:ascii="Times New Roman" w:hAnsi="Times New Roman" w:cs="Times New Roman"/>
          <w:bCs/>
          <w:sz w:val="24"/>
          <w:szCs w:val="24"/>
          <w:lang w:val="bg-BG" w:bidi="en-US"/>
        </w:rPr>
        <w:t>skills</w:t>
      </w:r>
      <w:proofErr w:type="spellEnd"/>
      <w:r w:rsidRPr="00497695">
        <w:rPr>
          <w:rFonts w:ascii="Times New Roman" w:hAnsi="Times New Roman" w:cs="Times New Roman"/>
          <w:bCs/>
          <w:sz w:val="24"/>
          <w:szCs w:val="24"/>
          <w:lang w:val="bg-BG" w:bidi="en-US"/>
        </w:rPr>
        <w:t>);</w:t>
      </w:r>
    </w:p>
    <w:p w:rsidR="009B298B" w:rsidRPr="00497695" w:rsidRDefault="009B298B" w:rsidP="00E5358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en-US"/>
        </w:rPr>
      </w:pPr>
      <w:r w:rsidRPr="00497695">
        <w:rPr>
          <w:rFonts w:ascii="Times New Roman" w:hAnsi="Times New Roman" w:cs="Times New Roman"/>
          <w:bCs/>
          <w:sz w:val="24"/>
          <w:szCs w:val="24"/>
          <w:lang w:val="bg-BG" w:bidi="en-US"/>
        </w:rPr>
        <w:lastRenderedPageBreak/>
        <w:t>- умения за комуникиране (</w:t>
      </w:r>
      <w:proofErr w:type="spellStart"/>
      <w:r w:rsidRPr="00497695">
        <w:rPr>
          <w:rFonts w:ascii="Times New Roman" w:hAnsi="Times New Roman" w:cs="Times New Roman"/>
          <w:sz w:val="24"/>
          <w:szCs w:val="24"/>
          <w:lang w:val="bg-BG" w:bidi="en-US"/>
        </w:rPr>
        <w:t>Communication</w:t>
      </w:r>
      <w:proofErr w:type="spellEnd"/>
      <w:r w:rsidRPr="00497695">
        <w:rPr>
          <w:rFonts w:ascii="Times New Roman" w:hAnsi="Times New Roman" w:cs="Times New Roman"/>
          <w:sz w:val="24"/>
          <w:szCs w:val="24"/>
          <w:lang w:val="bg-BG" w:bidi="en-US"/>
        </w:rPr>
        <w:t xml:space="preserve"> </w:t>
      </w:r>
      <w:proofErr w:type="spellStart"/>
      <w:r w:rsidRPr="00497695">
        <w:rPr>
          <w:rFonts w:ascii="Times New Roman" w:hAnsi="Times New Roman" w:cs="Times New Roman"/>
          <w:sz w:val="24"/>
          <w:szCs w:val="24"/>
          <w:lang w:val="bg-BG" w:bidi="en-US"/>
        </w:rPr>
        <w:t>skills</w:t>
      </w:r>
      <w:proofErr w:type="spellEnd"/>
      <w:r w:rsidRPr="00497695">
        <w:rPr>
          <w:rFonts w:ascii="Times New Roman" w:hAnsi="Times New Roman" w:cs="Times New Roman"/>
          <w:sz w:val="24"/>
          <w:szCs w:val="24"/>
          <w:lang w:val="bg-BG" w:bidi="en-US"/>
        </w:rPr>
        <w:t>);</w:t>
      </w:r>
    </w:p>
    <w:p w:rsidR="00031E7D" w:rsidRPr="00497695" w:rsidRDefault="009B298B" w:rsidP="00E5358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en-US"/>
        </w:rPr>
      </w:pPr>
      <w:r w:rsidRPr="00497695">
        <w:rPr>
          <w:rFonts w:ascii="Times New Roman" w:hAnsi="Times New Roman" w:cs="Times New Roman"/>
          <w:sz w:val="24"/>
          <w:szCs w:val="24"/>
          <w:lang w:val="bg-BG" w:bidi="en-US"/>
        </w:rPr>
        <w:t>- лидерски умения (</w:t>
      </w:r>
      <w:proofErr w:type="spellStart"/>
      <w:r w:rsidRPr="00497695">
        <w:rPr>
          <w:rFonts w:ascii="Times New Roman" w:hAnsi="Times New Roman" w:cs="Times New Roman"/>
          <w:sz w:val="24"/>
          <w:szCs w:val="24"/>
          <w:lang w:val="bg-BG" w:bidi="en-US"/>
        </w:rPr>
        <w:t>Leadership</w:t>
      </w:r>
      <w:proofErr w:type="spellEnd"/>
      <w:r w:rsidRPr="00497695">
        <w:rPr>
          <w:rFonts w:ascii="Times New Roman" w:hAnsi="Times New Roman" w:cs="Times New Roman"/>
          <w:sz w:val="24"/>
          <w:szCs w:val="24"/>
          <w:lang w:val="bg-BG" w:bidi="en-US"/>
        </w:rPr>
        <w:t xml:space="preserve"> </w:t>
      </w:r>
      <w:proofErr w:type="spellStart"/>
      <w:r w:rsidRPr="00497695">
        <w:rPr>
          <w:rFonts w:ascii="Times New Roman" w:hAnsi="Times New Roman" w:cs="Times New Roman"/>
          <w:sz w:val="24"/>
          <w:szCs w:val="24"/>
          <w:lang w:val="bg-BG" w:bidi="en-US"/>
        </w:rPr>
        <w:t>Skills</w:t>
      </w:r>
      <w:proofErr w:type="spellEnd"/>
      <w:r w:rsidRPr="00497695">
        <w:rPr>
          <w:rFonts w:ascii="Times New Roman" w:hAnsi="Times New Roman" w:cs="Times New Roman"/>
          <w:sz w:val="24"/>
          <w:szCs w:val="24"/>
          <w:lang w:val="bg-BG" w:bidi="en-US"/>
        </w:rPr>
        <w:t>).</w:t>
      </w:r>
    </w:p>
    <w:p w:rsidR="00031E7D" w:rsidRPr="00497695" w:rsidRDefault="00031E7D" w:rsidP="00E5358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en-US"/>
        </w:rPr>
      </w:pPr>
      <w:r w:rsidRPr="00497695">
        <w:rPr>
          <w:rFonts w:ascii="Times New Roman" w:hAnsi="Times New Roman" w:cs="Times New Roman"/>
          <w:sz w:val="24"/>
          <w:szCs w:val="24"/>
          <w:lang w:val="bg-BG" w:bidi="en-US"/>
        </w:rPr>
        <w:t>Тези предпочитания значително се различават от предпочитанията на представителите на българския бизнес. На стр. 16 в доклада за резултатите от Анкетното проучване за съответствието на подготовката на студентите по икономика и бизнес</w:t>
      </w:r>
      <w:r w:rsidR="00E53585">
        <w:rPr>
          <w:rFonts w:ascii="Times New Roman" w:hAnsi="Times New Roman" w:cs="Times New Roman"/>
          <w:sz w:val="24"/>
          <w:szCs w:val="24"/>
          <w:lang w:val="bg-BG" w:bidi="en-US"/>
        </w:rPr>
        <w:t xml:space="preserve"> </w:t>
      </w:r>
      <w:r w:rsidRPr="00497695">
        <w:rPr>
          <w:rFonts w:ascii="Times New Roman" w:hAnsi="Times New Roman" w:cs="Times New Roman"/>
          <w:sz w:val="24"/>
          <w:szCs w:val="24"/>
          <w:lang w:val="bg-BG" w:bidi="en-US"/>
        </w:rPr>
        <w:t xml:space="preserve">администрация с реалните потребности на бизнеса е направено следното обобщение: „като много значими (висока и по-скоро висока степен на значимост) от бизнеса се оценяват уменията за критично мислене, социална отговорност и етични ценности, езиковата култура, </w:t>
      </w:r>
      <w:proofErr w:type="spellStart"/>
      <w:r w:rsidRPr="00497695">
        <w:rPr>
          <w:rFonts w:ascii="Times New Roman" w:hAnsi="Times New Roman" w:cs="Times New Roman"/>
          <w:sz w:val="24"/>
          <w:szCs w:val="24"/>
          <w:lang w:val="bg-BG" w:bidi="en-US"/>
        </w:rPr>
        <w:t>общонаучната</w:t>
      </w:r>
      <w:proofErr w:type="spellEnd"/>
      <w:r w:rsidRPr="00497695">
        <w:rPr>
          <w:rFonts w:ascii="Times New Roman" w:hAnsi="Times New Roman" w:cs="Times New Roman"/>
          <w:sz w:val="24"/>
          <w:szCs w:val="24"/>
          <w:lang w:val="bg-BG" w:bidi="en-US"/>
        </w:rPr>
        <w:t xml:space="preserve"> подготовка. Компетенциите, свързани с езиковата култура и уменията за критично мислене, имат най-висок процент на висока степен на значимост. Едва 39,83% от анкетираните смятат, че глобалните мултикултурни перспективи имат висока и по-скоро висока значимост за бизнеса. Повече от половината </w:t>
      </w:r>
      <w:proofErr w:type="spellStart"/>
      <w:r w:rsidRPr="00497695">
        <w:rPr>
          <w:rFonts w:ascii="Times New Roman" w:hAnsi="Times New Roman" w:cs="Times New Roman"/>
          <w:sz w:val="24"/>
          <w:szCs w:val="24"/>
          <w:lang w:val="bg-BG" w:bidi="en-US"/>
        </w:rPr>
        <w:t>респонденти</w:t>
      </w:r>
      <w:proofErr w:type="spellEnd"/>
      <w:r w:rsidRPr="00497695">
        <w:rPr>
          <w:rFonts w:ascii="Times New Roman" w:hAnsi="Times New Roman" w:cs="Times New Roman"/>
          <w:sz w:val="24"/>
          <w:szCs w:val="24"/>
          <w:lang w:val="bg-BG" w:bidi="en-US"/>
        </w:rPr>
        <w:t xml:space="preserve"> смятат, че тази значимост е ниска и по-скоро ниска.“</w:t>
      </w:r>
    </w:p>
    <w:p w:rsidR="00D1354E" w:rsidRPr="00497695" w:rsidRDefault="00376564" w:rsidP="00E5358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en-US"/>
        </w:rPr>
      </w:pPr>
      <w:r w:rsidRPr="00497695">
        <w:rPr>
          <w:rFonts w:ascii="Times New Roman" w:hAnsi="Times New Roman" w:cs="Times New Roman"/>
          <w:sz w:val="24"/>
          <w:szCs w:val="24"/>
          <w:lang w:val="bg-BG" w:bidi="en-US"/>
        </w:rPr>
        <w:t xml:space="preserve">Второ, според данни в доклада на QS </w:t>
      </w:r>
      <w:proofErr w:type="spellStart"/>
      <w:r w:rsidRPr="00497695">
        <w:rPr>
          <w:rFonts w:ascii="Times New Roman" w:hAnsi="Times New Roman" w:cs="Times New Roman"/>
          <w:sz w:val="24"/>
          <w:szCs w:val="24"/>
          <w:lang w:val="bg-BG" w:bidi="en-US"/>
        </w:rPr>
        <w:t>Top</w:t>
      </w:r>
      <w:proofErr w:type="spellEnd"/>
      <w:r w:rsidRPr="00497695">
        <w:rPr>
          <w:rFonts w:ascii="Times New Roman" w:hAnsi="Times New Roman" w:cs="Times New Roman"/>
          <w:sz w:val="24"/>
          <w:szCs w:val="24"/>
          <w:lang w:val="bg-BG" w:bidi="en-US"/>
        </w:rPr>
        <w:t xml:space="preserve"> MBA през 2013 г. е отбелязано нарастване с 6% на наетите на работа студенти, завършили МБА-програми. През 2014 г. се очаква техният брой да нарасне с 34%. Причината е, че през 2013 г. много глобални компании са разширили бизнеса си в страните от Източна Европа. </w:t>
      </w:r>
      <w:r w:rsidR="00D1354E" w:rsidRPr="00497695">
        <w:rPr>
          <w:rFonts w:ascii="Times New Roman" w:hAnsi="Times New Roman" w:cs="Times New Roman"/>
          <w:sz w:val="24"/>
          <w:szCs w:val="24"/>
          <w:lang w:val="bg-BG" w:bidi="en-US"/>
        </w:rPr>
        <w:t xml:space="preserve">Тенденциите по сектори са следните: </w:t>
      </w:r>
    </w:p>
    <w:p w:rsidR="00376564" w:rsidRPr="00497695" w:rsidRDefault="00D1354E" w:rsidP="00E5358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en-US"/>
        </w:rPr>
      </w:pPr>
      <w:r w:rsidRPr="00497695">
        <w:rPr>
          <w:rFonts w:ascii="Times New Roman" w:hAnsi="Times New Roman" w:cs="Times New Roman"/>
          <w:sz w:val="24"/>
          <w:szCs w:val="24"/>
          <w:lang w:val="bg-BG" w:bidi="en-US"/>
        </w:rPr>
        <w:t xml:space="preserve">- </w:t>
      </w:r>
      <w:r w:rsidR="00376564" w:rsidRPr="00497695">
        <w:rPr>
          <w:rFonts w:ascii="Times New Roman" w:hAnsi="Times New Roman" w:cs="Times New Roman"/>
          <w:sz w:val="24"/>
          <w:szCs w:val="24"/>
          <w:lang w:val="bg-BG" w:bidi="en-US"/>
        </w:rPr>
        <w:t>най-активни в нае</w:t>
      </w:r>
      <w:r w:rsidRPr="00497695">
        <w:rPr>
          <w:rFonts w:ascii="Times New Roman" w:hAnsi="Times New Roman" w:cs="Times New Roman"/>
          <w:sz w:val="24"/>
          <w:szCs w:val="24"/>
          <w:lang w:val="bg-BG" w:bidi="en-US"/>
        </w:rPr>
        <w:t>м</w:t>
      </w:r>
      <w:r w:rsidR="00376564" w:rsidRPr="00497695">
        <w:rPr>
          <w:rFonts w:ascii="Times New Roman" w:hAnsi="Times New Roman" w:cs="Times New Roman"/>
          <w:sz w:val="24"/>
          <w:szCs w:val="24"/>
          <w:lang w:val="bg-BG" w:bidi="en-US"/>
        </w:rPr>
        <w:t xml:space="preserve">ането на работа на такива специалисти </w:t>
      </w:r>
      <w:r w:rsidRPr="00497695">
        <w:rPr>
          <w:rFonts w:ascii="Times New Roman" w:hAnsi="Times New Roman" w:cs="Times New Roman"/>
          <w:sz w:val="24"/>
          <w:szCs w:val="24"/>
          <w:lang w:val="bg-BG" w:bidi="en-US"/>
        </w:rPr>
        <w:t>са</w:t>
      </w:r>
      <w:r w:rsidR="00E53585">
        <w:rPr>
          <w:rFonts w:ascii="Times New Roman" w:hAnsi="Times New Roman" w:cs="Times New Roman"/>
          <w:sz w:val="24"/>
          <w:szCs w:val="24"/>
          <w:lang w:val="bg-BG" w:bidi="en-US"/>
        </w:rPr>
        <w:t>:</w:t>
      </w:r>
      <w:r w:rsidRPr="00497695">
        <w:rPr>
          <w:rFonts w:ascii="Times New Roman" w:hAnsi="Times New Roman" w:cs="Times New Roman"/>
          <w:sz w:val="24"/>
          <w:szCs w:val="24"/>
          <w:lang w:val="bg-BG" w:bidi="en-US"/>
        </w:rPr>
        <w:t xml:space="preserve"> секторът на консултантските услуги (11%), финансите (11%), промишления сектор като цяло (11%), технологичният сектор (11%);</w:t>
      </w:r>
    </w:p>
    <w:p w:rsidR="00D1354E" w:rsidRPr="00497695" w:rsidRDefault="00D1354E" w:rsidP="00E5358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en-US"/>
        </w:rPr>
      </w:pPr>
      <w:r w:rsidRPr="00497695">
        <w:rPr>
          <w:rFonts w:ascii="Times New Roman" w:hAnsi="Times New Roman" w:cs="Times New Roman"/>
          <w:sz w:val="24"/>
          <w:szCs w:val="24"/>
          <w:lang w:val="bg-BG" w:bidi="en-US"/>
        </w:rPr>
        <w:t xml:space="preserve">- най-пасивни са бавно нарастващите сектори: медии и забавления, екскурзии и хотелиерство; фармацевтика и здравеопазване. </w:t>
      </w:r>
    </w:p>
    <w:p w:rsidR="00497695" w:rsidRPr="00497695" w:rsidRDefault="00D1354E" w:rsidP="00E5358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en-US"/>
        </w:rPr>
      </w:pPr>
      <w:r w:rsidRPr="00203786">
        <w:rPr>
          <w:rFonts w:ascii="Times New Roman" w:hAnsi="Times New Roman" w:cs="Times New Roman"/>
          <w:sz w:val="24"/>
          <w:szCs w:val="24"/>
          <w:lang w:val="bg-BG" w:bidi="en-US"/>
        </w:rPr>
        <w:t xml:space="preserve">В предшестващия петгодишен период Източна Европа се </w:t>
      </w:r>
      <w:r w:rsidR="00E53585" w:rsidRPr="00203786">
        <w:rPr>
          <w:rFonts w:ascii="Times New Roman" w:hAnsi="Times New Roman" w:cs="Times New Roman"/>
          <w:sz w:val="24"/>
          <w:szCs w:val="24"/>
          <w:lang w:val="bg-BG" w:bidi="en-US"/>
        </w:rPr>
        <w:t xml:space="preserve">е </w:t>
      </w:r>
      <w:r w:rsidRPr="00203786">
        <w:rPr>
          <w:rFonts w:ascii="Times New Roman" w:hAnsi="Times New Roman" w:cs="Times New Roman"/>
          <w:sz w:val="24"/>
          <w:szCs w:val="24"/>
          <w:lang w:val="bg-BG" w:bidi="en-US"/>
        </w:rPr>
        <w:t>представи</w:t>
      </w:r>
      <w:r w:rsidR="00E53585" w:rsidRPr="00203786">
        <w:rPr>
          <w:rFonts w:ascii="Times New Roman" w:hAnsi="Times New Roman" w:cs="Times New Roman"/>
          <w:sz w:val="24"/>
          <w:szCs w:val="24"/>
          <w:lang w:val="bg-BG" w:bidi="en-US"/>
        </w:rPr>
        <w:t>ла</w:t>
      </w:r>
      <w:r w:rsidRPr="00203786">
        <w:rPr>
          <w:rFonts w:ascii="Times New Roman" w:hAnsi="Times New Roman" w:cs="Times New Roman"/>
          <w:sz w:val="24"/>
          <w:szCs w:val="24"/>
          <w:lang w:val="bg-BG" w:bidi="en-US"/>
        </w:rPr>
        <w:t xml:space="preserve"> като регион с най-бавен растеж в световното стопанство, но незав</w:t>
      </w:r>
      <w:r w:rsidR="00E53585" w:rsidRPr="00203786">
        <w:rPr>
          <w:rFonts w:ascii="Times New Roman" w:hAnsi="Times New Roman" w:cs="Times New Roman"/>
          <w:sz w:val="24"/>
          <w:szCs w:val="24"/>
          <w:lang w:val="bg-BG" w:bidi="en-US"/>
        </w:rPr>
        <w:t>и</w:t>
      </w:r>
      <w:r w:rsidRPr="00203786">
        <w:rPr>
          <w:rFonts w:ascii="Times New Roman" w:hAnsi="Times New Roman" w:cs="Times New Roman"/>
          <w:sz w:val="24"/>
          <w:szCs w:val="24"/>
          <w:lang w:val="bg-BG" w:bidi="en-US"/>
        </w:rPr>
        <w:t>симо от това</w:t>
      </w:r>
      <w:r w:rsidR="00E53585" w:rsidRPr="00203786">
        <w:rPr>
          <w:rFonts w:ascii="Times New Roman" w:hAnsi="Times New Roman" w:cs="Times New Roman"/>
          <w:sz w:val="24"/>
          <w:szCs w:val="24"/>
          <w:lang w:val="bg-BG" w:bidi="en-US"/>
        </w:rPr>
        <w:t>,</w:t>
      </w:r>
      <w:r w:rsidRPr="00203786">
        <w:rPr>
          <w:rFonts w:ascii="Times New Roman" w:hAnsi="Times New Roman" w:cs="Times New Roman"/>
          <w:sz w:val="24"/>
          <w:szCs w:val="24"/>
          <w:lang w:val="bg-BG" w:bidi="en-US"/>
        </w:rPr>
        <w:t xml:space="preserve"> отбелязва растеж от 6% на наетите специалисти</w:t>
      </w:r>
      <w:r w:rsidR="00E53585" w:rsidRPr="00203786">
        <w:rPr>
          <w:rFonts w:ascii="Times New Roman" w:hAnsi="Times New Roman" w:cs="Times New Roman"/>
          <w:sz w:val="24"/>
          <w:szCs w:val="24"/>
          <w:lang w:val="bg-BG" w:bidi="en-US"/>
        </w:rPr>
        <w:t>,</w:t>
      </w:r>
      <w:r w:rsidRPr="00203786">
        <w:rPr>
          <w:rFonts w:ascii="Times New Roman" w:hAnsi="Times New Roman" w:cs="Times New Roman"/>
          <w:sz w:val="24"/>
          <w:szCs w:val="24"/>
          <w:lang w:val="bg-BG" w:bidi="en-US"/>
        </w:rPr>
        <w:t xml:space="preserve"> завършили М</w:t>
      </w:r>
      <w:r w:rsidR="005B7527">
        <w:rPr>
          <w:rFonts w:ascii="Times New Roman" w:hAnsi="Times New Roman" w:cs="Times New Roman"/>
          <w:sz w:val="24"/>
          <w:szCs w:val="24"/>
          <w:lang w:val="bg-BG" w:bidi="en-US"/>
        </w:rPr>
        <w:t>П</w:t>
      </w:r>
      <w:r w:rsidRPr="00203786">
        <w:rPr>
          <w:rFonts w:ascii="Times New Roman" w:hAnsi="Times New Roman" w:cs="Times New Roman"/>
          <w:sz w:val="24"/>
          <w:szCs w:val="24"/>
          <w:lang w:val="bg-BG" w:bidi="en-US"/>
        </w:rPr>
        <w:t>БА. Най-голям е приносът на Полша, която регистрира 18% нарастване, надминато само от България, която бележи 20% нарастване в търсенето на такива специалисти. Най-тежка е ситуацията в Унгария където е налице спад с 33% на наетите МБА-специалисти.</w:t>
      </w:r>
      <w:r w:rsidRPr="00497695">
        <w:rPr>
          <w:rFonts w:ascii="Times New Roman" w:hAnsi="Times New Roman" w:cs="Times New Roman"/>
          <w:sz w:val="24"/>
          <w:szCs w:val="24"/>
          <w:lang w:val="bg-BG" w:bidi="en-US"/>
        </w:rPr>
        <w:t xml:space="preserve"> </w:t>
      </w:r>
    </w:p>
    <w:p w:rsidR="00497695" w:rsidRPr="00497695" w:rsidRDefault="00497695" w:rsidP="00E5358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en-US"/>
        </w:rPr>
      </w:pPr>
      <w:r w:rsidRPr="00497695">
        <w:rPr>
          <w:rFonts w:ascii="Times New Roman" w:hAnsi="Times New Roman" w:cs="Times New Roman"/>
          <w:sz w:val="24"/>
          <w:szCs w:val="24"/>
          <w:lang w:val="bg-BG" w:bidi="en-US"/>
        </w:rPr>
        <w:t>Трето, според анализите в доклада</w:t>
      </w:r>
      <w:r w:rsidR="005B7527">
        <w:rPr>
          <w:rFonts w:ascii="Times New Roman" w:hAnsi="Times New Roman" w:cs="Times New Roman"/>
          <w:sz w:val="24"/>
          <w:szCs w:val="24"/>
          <w:lang w:val="bg-BG" w:bidi="en-US"/>
        </w:rPr>
        <w:t>,</w:t>
      </w:r>
      <w:r w:rsidRPr="00497695">
        <w:rPr>
          <w:rFonts w:ascii="Times New Roman" w:hAnsi="Times New Roman" w:cs="Times New Roman"/>
          <w:sz w:val="24"/>
          <w:szCs w:val="24"/>
          <w:lang w:val="bg-BG" w:bidi="en-US"/>
        </w:rPr>
        <w:t xml:space="preserve"> рейтингът на специализациите към М</w:t>
      </w:r>
      <w:r w:rsidR="005B7527">
        <w:rPr>
          <w:rFonts w:ascii="Times New Roman" w:hAnsi="Times New Roman" w:cs="Times New Roman"/>
          <w:sz w:val="24"/>
          <w:szCs w:val="24"/>
          <w:lang w:val="bg-BG" w:bidi="en-US"/>
        </w:rPr>
        <w:t>П</w:t>
      </w:r>
      <w:r w:rsidRPr="00497695">
        <w:rPr>
          <w:rFonts w:ascii="Times New Roman" w:hAnsi="Times New Roman" w:cs="Times New Roman"/>
          <w:sz w:val="24"/>
          <w:szCs w:val="24"/>
          <w:lang w:val="bg-BG" w:bidi="en-US"/>
        </w:rPr>
        <w:t xml:space="preserve">БА </w:t>
      </w:r>
      <w:r w:rsidR="009B0879">
        <w:rPr>
          <w:rFonts w:ascii="Times New Roman" w:hAnsi="Times New Roman" w:cs="Times New Roman"/>
          <w:sz w:val="24"/>
          <w:szCs w:val="24"/>
          <w:lang w:val="bg-BG" w:bidi="en-US"/>
        </w:rPr>
        <w:t xml:space="preserve">в световен мащаб </w:t>
      </w:r>
      <w:r w:rsidRPr="00497695">
        <w:rPr>
          <w:rFonts w:ascii="Times New Roman" w:hAnsi="Times New Roman" w:cs="Times New Roman"/>
          <w:sz w:val="24"/>
          <w:szCs w:val="24"/>
          <w:lang w:val="bg-BG" w:bidi="en-US"/>
        </w:rPr>
        <w:t>е както с следва:</w:t>
      </w:r>
    </w:p>
    <w:p w:rsidR="00497695" w:rsidRPr="00497695" w:rsidRDefault="00497695" w:rsidP="00E5358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en-US"/>
        </w:rPr>
      </w:pPr>
      <w:r w:rsidRPr="00497695">
        <w:rPr>
          <w:rFonts w:ascii="Times New Roman" w:hAnsi="Times New Roman" w:cs="Times New Roman"/>
          <w:sz w:val="24"/>
          <w:szCs w:val="24"/>
          <w:lang w:val="bg-BG" w:bidi="en-US"/>
        </w:rPr>
        <w:t>1. Корпоративна социална отговорност</w:t>
      </w:r>
    </w:p>
    <w:p w:rsidR="00497695" w:rsidRPr="00497695" w:rsidRDefault="00497695" w:rsidP="00E5358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en-US"/>
        </w:rPr>
      </w:pPr>
      <w:r w:rsidRPr="00497695">
        <w:rPr>
          <w:rFonts w:ascii="Times New Roman" w:hAnsi="Times New Roman" w:cs="Times New Roman"/>
          <w:sz w:val="24"/>
          <w:szCs w:val="24"/>
          <w:lang w:val="bg-BG" w:bidi="en-US"/>
        </w:rPr>
        <w:t>2. Предприемачество</w:t>
      </w:r>
    </w:p>
    <w:p w:rsidR="00497695" w:rsidRPr="00497695" w:rsidRDefault="00497695" w:rsidP="00E5358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en-US"/>
        </w:rPr>
      </w:pPr>
      <w:r w:rsidRPr="00497695">
        <w:rPr>
          <w:rFonts w:ascii="Times New Roman" w:hAnsi="Times New Roman" w:cs="Times New Roman"/>
          <w:sz w:val="24"/>
          <w:szCs w:val="24"/>
          <w:lang w:val="bg-BG" w:bidi="en-US"/>
        </w:rPr>
        <w:t>3. Финанси</w:t>
      </w:r>
    </w:p>
    <w:p w:rsidR="00497695" w:rsidRPr="00497695" w:rsidRDefault="00497695" w:rsidP="00E5358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en-US"/>
        </w:rPr>
      </w:pPr>
      <w:r w:rsidRPr="00497695">
        <w:rPr>
          <w:rFonts w:ascii="Times New Roman" w:hAnsi="Times New Roman" w:cs="Times New Roman"/>
          <w:sz w:val="24"/>
          <w:szCs w:val="24"/>
          <w:lang w:val="bg-BG" w:bidi="en-US"/>
        </w:rPr>
        <w:t>4. Мениджмънт на информацията</w:t>
      </w:r>
    </w:p>
    <w:p w:rsidR="00497695" w:rsidRPr="00203786" w:rsidRDefault="00497695" w:rsidP="00E5358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en-US"/>
        </w:rPr>
      </w:pPr>
      <w:r w:rsidRPr="00203786">
        <w:rPr>
          <w:rFonts w:ascii="Times New Roman" w:hAnsi="Times New Roman" w:cs="Times New Roman"/>
          <w:sz w:val="24"/>
          <w:szCs w:val="24"/>
          <w:lang w:val="bg-BG" w:bidi="en-US"/>
        </w:rPr>
        <w:t>5. Иновации</w:t>
      </w:r>
    </w:p>
    <w:p w:rsidR="00497695" w:rsidRPr="00203786" w:rsidRDefault="00497695" w:rsidP="00E5358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en-US"/>
        </w:rPr>
      </w:pPr>
      <w:r w:rsidRPr="00203786">
        <w:rPr>
          <w:rFonts w:ascii="Times New Roman" w:hAnsi="Times New Roman" w:cs="Times New Roman"/>
          <w:sz w:val="24"/>
          <w:szCs w:val="24"/>
          <w:lang w:val="bg-BG" w:bidi="en-US"/>
        </w:rPr>
        <w:t>6. Международен мениджмънт</w:t>
      </w:r>
    </w:p>
    <w:p w:rsidR="00497695" w:rsidRPr="00497695" w:rsidRDefault="00497695" w:rsidP="00E5358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en-US"/>
        </w:rPr>
      </w:pPr>
      <w:r w:rsidRPr="00203786">
        <w:rPr>
          <w:rFonts w:ascii="Times New Roman" w:hAnsi="Times New Roman" w:cs="Times New Roman"/>
          <w:sz w:val="24"/>
          <w:szCs w:val="24"/>
          <w:lang w:val="bg-BG" w:bidi="en-US"/>
        </w:rPr>
        <w:t>7. Лидерство</w:t>
      </w:r>
    </w:p>
    <w:p w:rsidR="00D1354E" w:rsidRPr="00497695" w:rsidRDefault="00497695" w:rsidP="00E5358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en-US"/>
        </w:rPr>
      </w:pPr>
      <w:r w:rsidRPr="00497695">
        <w:rPr>
          <w:rFonts w:ascii="Times New Roman" w:hAnsi="Times New Roman" w:cs="Times New Roman"/>
          <w:sz w:val="24"/>
          <w:szCs w:val="24"/>
          <w:lang w:val="bg-BG" w:bidi="en-US"/>
        </w:rPr>
        <w:t>8. Маркетинг</w:t>
      </w:r>
      <w:r w:rsidR="00D1354E" w:rsidRPr="00497695">
        <w:rPr>
          <w:rFonts w:ascii="Times New Roman" w:hAnsi="Times New Roman" w:cs="Times New Roman"/>
          <w:sz w:val="24"/>
          <w:szCs w:val="24"/>
          <w:lang w:val="bg-BG" w:bidi="en-US"/>
        </w:rPr>
        <w:t xml:space="preserve"> </w:t>
      </w:r>
    </w:p>
    <w:p w:rsidR="00074173" w:rsidRPr="00497695" w:rsidRDefault="00497695" w:rsidP="00E5358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en-US"/>
        </w:rPr>
      </w:pPr>
      <w:r w:rsidRPr="00497695">
        <w:rPr>
          <w:rFonts w:ascii="Times New Roman" w:hAnsi="Times New Roman" w:cs="Times New Roman"/>
          <w:sz w:val="24"/>
          <w:szCs w:val="24"/>
          <w:lang w:val="bg-BG" w:bidi="en-US"/>
        </w:rPr>
        <w:t>9. Мениджмънт на операциите</w:t>
      </w:r>
    </w:p>
    <w:p w:rsidR="00497695" w:rsidRPr="00497695" w:rsidRDefault="00497695" w:rsidP="00E5358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bidi="en-US"/>
        </w:rPr>
      </w:pPr>
      <w:r w:rsidRPr="00497695">
        <w:rPr>
          <w:rFonts w:ascii="Times New Roman" w:hAnsi="Times New Roman" w:cs="Times New Roman"/>
          <w:sz w:val="24"/>
          <w:szCs w:val="24"/>
          <w:lang w:val="bg-BG" w:bidi="en-US"/>
        </w:rPr>
        <w:lastRenderedPageBreak/>
        <w:t>10. Стратегия</w:t>
      </w:r>
    </w:p>
    <w:p w:rsidR="00FA58F4" w:rsidRDefault="00497695" w:rsidP="009B298B">
      <w:pPr>
        <w:spacing w:before="120"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 w:bidi="en-US"/>
        </w:rPr>
      </w:pPr>
      <w:r w:rsidRPr="00497695">
        <w:rPr>
          <w:rFonts w:ascii="Times New Roman" w:hAnsi="Times New Roman" w:cs="Times New Roman"/>
          <w:sz w:val="24"/>
          <w:szCs w:val="24"/>
          <w:lang w:val="bg-BG" w:bidi="en-US"/>
        </w:rPr>
        <w:t>Очевидно, този рейтинг трябва също да се има предвид, когато се прави избор какви специализации да се включат в М</w:t>
      </w:r>
      <w:r w:rsidR="00016BA2">
        <w:rPr>
          <w:rFonts w:ascii="Times New Roman" w:hAnsi="Times New Roman" w:cs="Times New Roman"/>
          <w:sz w:val="24"/>
          <w:szCs w:val="24"/>
          <w:lang w:val="bg-BG" w:bidi="en-US"/>
        </w:rPr>
        <w:t>П</w:t>
      </w:r>
      <w:r w:rsidRPr="00497695">
        <w:rPr>
          <w:rFonts w:ascii="Times New Roman" w:hAnsi="Times New Roman" w:cs="Times New Roman"/>
          <w:sz w:val="24"/>
          <w:szCs w:val="24"/>
          <w:lang w:val="bg-BG" w:bidi="en-US"/>
        </w:rPr>
        <w:t>БА на НБУ в перспектива.</w:t>
      </w:r>
    </w:p>
    <w:p w:rsidR="00497695" w:rsidRDefault="00497695" w:rsidP="009B298B">
      <w:pPr>
        <w:spacing w:before="120"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 w:bidi="en-US"/>
        </w:rPr>
      </w:pPr>
    </w:p>
    <w:p w:rsidR="009B0879" w:rsidRDefault="009B0879" w:rsidP="009B298B">
      <w:pPr>
        <w:spacing w:before="120"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bg-BG" w:bidi="en-US"/>
        </w:rPr>
      </w:pPr>
    </w:p>
    <w:sectPr w:rsidR="009B0879" w:rsidSect="00113B04"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A3D" w:rsidRDefault="002F2A3D" w:rsidP="00CE4DFE">
      <w:pPr>
        <w:spacing w:after="0" w:line="240" w:lineRule="auto"/>
      </w:pPr>
      <w:r>
        <w:separator/>
      </w:r>
    </w:p>
  </w:endnote>
  <w:endnote w:type="continuationSeparator" w:id="0">
    <w:p w:rsidR="002F2A3D" w:rsidRDefault="002F2A3D" w:rsidP="00CE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89014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475F72" w:rsidRPr="000D338B" w:rsidRDefault="00475F72">
        <w:pPr>
          <w:pStyle w:val="Footer"/>
          <w:jc w:val="right"/>
          <w:rPr>
            <w:rFonts w:ascii="Times New Roman" w:hAnsi="Times New Roman" w:cs="Times New Roman"/>
          </w:rPr>
        </w:pPr>
        <w:r w:rsidRPr="000D338B">
          <w:rPr>
            <w:rFonts w:ascii="Times New Roman" w:hAnsi="Times New Roman" w:cs="Times New Roman"/>
          </w:rPr>
          <w:fldChar w:fldCharType="begin"/>
        </w:r>
        <w:r w:rsidRPr="000D338B">
          <w:rPr>
            <w:rFonts w:ascii="Times New Roman" w:hAnsi="Times New Roman" w:cs="Times New Roman"/>
          </w:rPr>
          <w:instrText xml:space="preserve"> PAGE   \* MERGEFORMAT </w:instrText>
        </w:r>
        <w:r w:rsidRPr="000D338B">
          <w:rPr>
            <w:rFonts w:ascii="Times New Roman" w:hAnsi="Times New Roman" w:cs="Times New Roman"/>
          </w:rPr>
          <w:fldChar w:fldCharType="separate"/>
        </w:r>
        <w:r w:rsidR="00442D6E">
          <w:rPr>
            <w:rFonts w:ascii="Times New Roman" w:hAnsi="Times New Roman" w:cs="Times New Roman"/>
            <w:noProof/>
          </w:rPr>
          <w:t>2</w:t>
        </w:r>
        <w:r w:rsidRPr="000D338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75F72" w:rsidRDefault="00475F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A3D" w:rsidRDefault="002F2A3D" w:rsidP="00CE4DFE">
      <w:pPr>
        <w:spacing w:after="0" w:line="240" w:lineRule="auto"/>
      </w:pPr>
      <w:r>
        <w:separator/>
      </w:r>
    </w:p>
  </w:footnote>
  <w:footnote w:type="continuationSeparator" w:id="0">
    <w:p w:rsidR="002F2A3D" w:rsidRDefault="002F2A3D" w:rsidP="00CE4DFE">
      <w:pPr>
        <w:spacing w:after="0" w:line="240" w:lineRule="auto"/>
      </w:pPr>
      <w:r>
        <w:continuationSeparator/>
      </w:r>
    </w:p>
  </w:footnote>
  <w:footnote w:id="1">
    <w:p w:rsidR="00475F72" w:rsidRPr="000D338B" w:rsidRDefault="00475F72" w:rsidP="000D338B">
      <w:pPr>
        <w:pStyle w:val="FootnoteText"/>
        <w:jc w:val="both"/>
        <w:rPr>
          <w:rFonts w:ascii="Times New Roman" w:hAnsi="Times New Roman" w:cs="Times New Roman"/>
          <w:lang w:val="bg-BG"/>
        </w:rPr>
      </w:pPr>
      <w:r w:rsidRPr="000D338B">
        <w:rPr>
          <w:rStyle w:val="FootnoteReference"/>
          <w:rFonts w:ascii="Times New Roman" w:hAnsi="Times New Roman" w:cs="Times New Roman"/>
        </w:rPr>
        <w:footnoteRef/>
      </w:r>
      <w:r w:rsidRPr="000D338B">
        <w:rPr>
          <w:rFonts w:ascii="Times New Roman" w:hAnsi="Times New Roman" w:cs="Times New Roman"/>
          <w:lang w:val="ru-RU"/>
        </w:rPr>
        <w:t xml:space="preserve"> </w:t>
      </w:r>
      <w:r w:rsidRPr="000D338B">
        <w:rPr>
          <w:rFonts w:ascii="Times New Roman" w:hAnsi="Times New Roman" w:cs="Times New Roman"/>
          <w:lang w:val="bg-BG"/>
        </w:rPr>
        <w:t>Вж. http://epp.eurostat.ec.europa.eu/tgm/table.do?tab=table&amp;init=1&amp;plugin=1&amp;language=en&amp;pcode=tec00114</w:t>
      </w:r>
      <w:r>
        <w:rPr>
          <w:rFonts w:ascii="Times New Roman" w:hAnsi="Times New Roman" w:cs="Times New Roman"/>
          <w:lang w:val="bg-BG"/>
        </w:rPr>
        <w:t>.</w:t>
      </w:r>
    </w:p>
  </w:footnote>
  <w:footnote w:id="2">
    <w:p w:rsidR="00475F72" w:rsidRPr="000D338B" w:rsidRDefault="00475F72" w:rsidP="000D338B">
      <w:pPr>
        <w:pStyle w:val="FootnoteText"/>
        <w:jc w:val="both"/>
        <w:rPr>
          <w:rFonts w:ascii="Times New Roman" w:hAnsi="Times New Roman" w:cs="Times New Roman"/>
          <w:lang w:val="bg-BG"/>
        </w:rPr>
      </w:pPr>
      <w:r w:rsidRPr="000D338B">
        <w:rPr>
          <w:rStyle w:val="FootnoteReference"/>
          <w:rFonts w:ascii="Times New Roman" w:hAnsi="Times New Roman" w:cs="Times New Roman"/>
        </w:rPr>
        <w:footnoteRef/>
      </w:r>
      <w:r w:rsidRPr="000D338B">
        <w:rPr>
          <w:rFonts w:ascii="Times New Roman" w:hAnsi="Times New Roman" w:cs="Times New Roman"/>
          <w:lang w:val="ru-RU"/>
        </w:rPr>
        <w:t xml:space="preserve"> </w:t>
      </w:r>
      <w:r w:rsidRPr="000D338B">
        <w:rPr>
          <w:rFonts w:ascii="Times New Roman" w:hAnsi="Times New Roman" w:cs="Times New Roman"/>
          <w:lang w:val="bg-BG"/>
        </w:rPr>
        <w:t>Естония се присъедини към Еврозоната през 2011 г., а Латвия – през 2013 г. В настоящия анализ се абстрахираме от този факт, защото разглеждаме моделите на прехода и пазарната</w:t>
      </w:r>
      <w:r>
        <w:rPr>
          <w:rFonts w:ascii="Times New Roman" w:hAnsi="Times New Roman" w:cs="Times New Roman"/>
          <w:lang w:val="bg-BG"/>
        </w:rPr>
        <w:t xml:space="preserve"> икономика</w:t>
      </w:r>
      <w:r w:rsidRPr="000D338B">
        <w:rPr>
          <w:rFonts w:ascii="Times New Roman" w:hAnsi="Times New Roman" w:cs="Times New Roman"/>
          <w:lang w:val="bg-BG"/>
        </w:rPr>
        <w:t xml:space="preserve">, прилагани в тези страни, в по-дългосрочен план – от момента на тяхното присъединяване към ЕС. </w:t>
      </w:r>
    </w:p>
  </w:footnote>
  <w:footnote w:id="3">
    <w:p w:rsidR="00475F72" w:rsidRPr="007B6C83" w:rsidRDefault="00475F72">
      <w:pPr>
        <w:pStyle w:val="FootnoteText"/>
        <w:rPr>
          <w:rFonts w:ascii="Times New Roman" w:hAnsi="Times New Roman" w:cs="Times New Roman"/>
          <w:lang w:val="bg-BG"/>
        </w:rPr>
      </w:pPr>
      <w:r w:rsidRPr="007B6C83">
        <w:rPr>
          <w:rStyle w:val="FootnoteReference"/>
          <w:rFonts w:ascii="Times New Roman" w:hAnsi="Times New Roman" w:cs="Times New Roman"/>
        </w:rPr>
        <w:footnoteRef/>
      </w:r>
      <w:r w:rsidRPr="007B6C83">
        <w:rPr>
          <w:rFonts w:ascii="Times New Roman" w:hAnsi="Times New Roman" w:cs="Times New Roman"/>
          <w:lang w:val="bg-BG"/>
        </w:rPr>
        <w:t xml:space="preserve"> Вж.: </w:t>
      </w:r>
      <w:hyperlink r:id="rId1" w:history="1">
        <w:r w:rsidRPr="007B6C83">
          <w:rPr>
            <w:rStyle w:val="Hyperlink"/>
            <w:rFonts w:ascii="Times New Roman" w:hAnsi="Times New Roman" w:cs="Times New Roman"/>
          </w:rPr>
          <w:t>http</w:t>
        </w:r>
        <w:r w:rsidRPr="007B6C83">
          <w:rPr>
            <w:rStyle w:val="Hyperlink"/>
            <w:rFonts w:ascii="Times New Roman" w:hAnsi="Times New Roman" w:cs="Times New Roman"/>
            <w:lang w:val="bg-BG"/>
          </w:rPr>
          <w:t>://</w:t>
        </w:r>
        <w:proofErr w:type="spellStart"/>
        <w:r w:rsidRPr="007B6C83">
          <w:rPr>
            <w:rStyle w:val="Hyperlink"/>
            <w:rFonts w:ascii="Times New Roman" w:hAnsi="Times New Roman" w:cs="Times New Roman"/>
          </w:rPr>
          <w:t>epp</w:t>
        </w:r>
        <w:proofErr w:type="spellEnd"/>
        <w:r w:rsidRPr="007B6C83">
          <w:rPr>
            <w:rStyle w:val="Hyperlink"/>
            <w:rFonts w:ascii="Times New Roman" w:hAnsi="Times New Roman" w:cs="Times New Roman"/>
            <w:lang w:val="bg-BG"/>
          </w:rPr>
          <w:t>.</w:t>
        </w:r>
        <w:proofErr w:type="spellStart"/>
        <w:r w:rsidRPr="007B6C83">
          <w:rPr>
            <w:rStyle w:val="Hyperlink"/>
            <w:rFonts w:ascii="Times New Roman" w:hAnsi="Times New Roman" w:cs="Times New Roman"/>
          </w:rPr>
          <w:t>eurostat</w:t>
        </w:r>
        <w:proofErr w:type="spellEnd"/>
        <w:r w:rsidRPr="007B6C83">
          <w:rPr>
            <w:rStyle w:val="Hyperlink"/>
            <w:rFonts w:ascii="Times New Roman" w:hAnsi="Times New Roman" w:cs="Times New Roman"/>
            <w:lang w:val="bg-BG"/>
          </w:rPr>
          <w:t>.</w:t>
        </w:r>
        <w:proofErr w:type="spellStart"/>
        <w:r w:rsidRPr="007B6C83">
          <w:rPr>
            <w:rStyle w:val="Hyperlink"/>
            <w:rFonts w:ascii="Times New Roman" w:hAnsi="Times New Roman" w:cs="Times New Roman"/>
          </w:rPr>
          <w:t>ec</w:t>
        </w:r>
        <w:proofErr w:type="spellEnd"/>
        <w:r w:rsidRPr="007B6C83">
          <w:rPr>
            <w:rStyle w:val="Hyperlink"/>
            <w:rFonts w:ascii="Times New Roman" w:hAnsi="Times New Roman" w:cs="Times New Roman"/>
            <w:lang w:val="bg-BG"/>
          </w:rPr>
          <w:t>.</w:t>
        </w:r>
        <w:proofErr w:type="spellStart"/>
        <w:r w:rsidRPr="007B6C83">
          <w:rPr>
            <w:rStyle w:val="Hyperlink"/>
            <w:rFonts w:ascii="Times New Roman" w:hAnsi="Times New Roman" w:cs="Times New Roman"/>
          </w:rPr>
          <w:t>europa</w:t>
        </w:r>
        <w:proofErr w:type="spellEnd"/>
        <w:r w:rsidRPr="007B6C83">
          <w:rPr>
            <w:rStyle w:val="Hyperlink"/>
            <w:rFonts w:ascii="Times New Roman" w:hAnsi="Times New Roman" w:cs="Times New Roman"/>
            <w:lang w:val="bg-BG"/>
          </w:rPr>
          <w:t>.</w:t>
        </w:r>
        <w:proofErr w:type="spellStart"/>
        <w:r w:rsidRPr="007B6C83">
          <w:rPr>
            <w:rStyle w:val="Hyperlink"/>
            <w:rFonts w:ascii="Times New Roman" w:hAnsi="Times New Roman" w:cs="Times New Roman"/>
          </w:rPr>
          <w:t>eu</w:t>
        </w:r>
        <w:proofErr w:type="spellEnd"/>
        <w:r w:rsidRPr="007B6C83">
          <w:rPr>
            <w:rStyle w:val="Hyperlink"/>
            <w:rFonts w:ascii="Times New Roman" w:hAnsi="Times New Roman" w:cs="Times New Roman"/>
            <w:lang w:val="bg-BG"/>
          </w:rPr>
          <w:t>/</w:t>
        </w:r>
        <w:r w:rsidRPr="007B6C83">
          <w:rPr>
            <w:rStyle w:val="Hyperlink"/>
            <w:rFonts w:ascii="Times New Roman" w:hAnsi="Times New Roman" w:cs="Times New Roman"/>
          </w:rPr>
          <w:t>cache</w:t>
        </w:r>
        <w:r w:rsidRPr="007B6C83">
          <w:rPr>
            <w:rStyle w:val="Hyperlink"/>
            <w:rFonts w:ascii="Times New Roman" w:hAnsi="Times New Roman" w:cs="Times New Roman"/>
            <w:lang w:val="bg-BG"/>
          </w:rPr>
          <w:t>/</w:t>
        </w:r>
        <w:r w:rsidRPr="007B6C83">
          <w:rPr>
            <w:rStyle w:val="Hyperlink"/>
            <w:rFonts w:ascii="Times New Roman" w:hAnsi="Times New Roman" w:cs="Times New Roman"/>
          </w:rPr>
          <w:t>ITY</w:t>
        </w:r>
        <w:r w:rsidRPr="007B6C83">
          <w:rPr>
            <w:rStyle w:val="Hyperlink"/>
            <w:rFonts w:ascii="Times New Roman" w:hAnsi="Times New Roman" w:cs="Times New Roman"/>
            <w:lang w:val="bg-BG"/>
          </w:rPr>
          <w:t>_</w:t>
        </w:r>
        <w:r w:rsidRPr="007B6C83">
          <w:rPr>
            <w:rStyle w:val="Hyperlink"/>
            <w:rFonts w:ascii="Times New Roman" w:hAnsi="Times New Roman" w:cs="Times New Roman"/>
          </w:rPr>
          <w:t>PUBLIC</w:t>
        </w:r>
        <w:r w:rsidRPr="007B6C83">
          <w:rPr>
            <w:rStyle w:val="Hyperlink"/>
            <w:rFonts w:ascii="Times New Roman" w:hAnsi="Times New Roman" w:cs="Times New Roman"/>
            <w:lang w:val="bg-BG"/>
          </w:rPr>
          <w:t>/2-16062014-</w:t>
        </w:r>
        <w:r w:rsidRPr="007B6C83">
          <w:rPr>
            <w:rStyle w:val="Hyperlink"/>
            <w:rFonts w:ascii="Times New Roman" w:hAnsi="Times New Roman" w:cs="Times New Roman"/>
          </w:rPr>
          <w:t>BP</w:t>
        </w:r>
        <w:r w:rsidRPr="007B6C83">
          <w:rPr>
            <w:rStyle w:val="Hyperlink"/>
            <w:rFonts w:ascii="Times New Roman" w:hAnsi="Times New Roman" w:cs="Times New Roman"/>
            <w:lang w:val="bg-BG"/>
          </w:rPr>
          <w:t>/</w:t>
        </w:r>
        <w:r w:rsidRPr="007B6C83">
          <w:rPr>
            <w:rStyle w:val="Hyperlink"/>
            <w:rFonts w:ascii="Times New Roman" w:hAnsi="Times New Roman" w:cs="Times New Roman"/>
          </w:rPr>
          <w:t>EN</w:t>
        </w:r>
        <w:r w:rsidRPr="007B6C83">
          <w:rPr>
            <w:rStyle w:val="Hyperlink"/>
            <w:rFonts w:ascii="Times New Roman" w:hAnsi="Times New Roman" w:cs="Times New Roman"/>
            <w:lang w:val="bg-BG"/>
          </w:rPr>
          <w:t>/2-16062014-</w:t>
        </w:r>
        <w:r w:rsidRPr="007B6C83">
          <w:rPr>
            <w:rStyle w:val="Hyperlink"/>
            <w:rFonts w:ascii="Times New Roman" w:hAnsi="Times New Roman" w:cs="Times New Roman"/>
          </w:rPr>
          <w:t>BP</w:t>
        </w:r>
        <w:r w:rsidRPr="007B6C83">
          <w:rPr>
            <w:rStyle w:val="Hyperlink"/>
            <w:rFonts w:ascii="Times New Roman" w:hAnsi="Times New Roman" w:cs="Times New Roman"/>
            <w:lang w:val="bg-BG"/>
          </w:rPr>
          <w:t>-</w:t>
        </w:r>
        <w:r w:rsidRPr="007B6C83">
          <w:rPr>
            <w:rStyle w:val="Hyperlink"/>
            <w:rFonts w:ascii="Times New Roman" w:hAnsi="Times New Roman" w:cs="Times New Roman"/>
          </w:rPr>
          <w:t>EN</w:t>
        </w:r>
        <w:r w:rsidRPr="007B6C83">
          <w:rPr>
            <w:rStyle w:val="Hyperlink"/>
            <w:rFonts w:ascii="Times New Roman" w:hAnsi="Times New Roman" w:cs="Times New Roman"/>
            <w:lang w:val="bg-BG"/>
          </w:rPr>
          <w:t>.</w:t>
        </w:r>
        <w:r w:rsidRPr="007B6C83">
          <w:rPr>
            <w:rStyle w:val="Hyperlink"/>
            <w:rFonts w:ascii="Times New Roman" w:hAnsi="Times New Roman" w:cs="Times New Roman"/>
          </w:rPr>
          <w:t>PDF</w:t>
        </w:r>
      </w:hyperlink>
      <w:r w:rsidRPr="007B6C83">
        <w:rPr>
          <w:rFonts w:ascii="Times New Roman" w:hAnsi="Times New Roman" w:cs="Times New Roman"/>
          <w:lang w:val="bg-BG"/>
        </w:rPr>
        <w:t>. За сравнение това съотношение в Германия е 39,1%, Франция – 45,0%, в 28-те страни от ЕС – 39,4%, а в 18-те страни от Еврозоната – 40,4%. (Вж.: пак там).</w:t>
      </w:r>
    </w:p>
  </w:footnote>
  <w:footnote w:id="4">
    <w:p w:rsidR="00475F72" w:rsidRPr="00C1046B" w:rsidRDefault="00475F72" w:rsidP="00AC2A9C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 w:rsidRPr="00475F72">
        <w:rPr>
          <w:lang w:val="bg-BG"/>
        </w:rPr>
        <w:t xml:space="preserve"> </w:t>
      </w:r>
      <w:r w:rsidRPr="00C1046B">
        <w:rPr>
          <w:lang w:val="bg-BG"/>
        </w:rPr>
        <w:t> </w:t>
      </w:r>
    </w:p>
    <w:p w:rsidR="00475F72" w:rsidRPr="00C1046B" w:rsidRDefault="00475F72" w:rsidP="00AC2A9C">
      <w:pPr>
        <w:pStyle w:val="FootnoteText"/>
        <w:rPr>
          <w:lang w:val="bg-BG"/>
        </w:rPr>
      </w:pPr>
      <w:r>
        <w:rPr>
          <w:lang w:val="bg-BG"/>
        </w:rPr>
        <w:t xml:space="preserve">Адрес: </w:t>
      </w:r>
      <w:r w:rsidRPr="00C1046B">
        <w:rPr>
          <w:lang w:val="bg-BG"/>
        </w:rPr>
        <w:t>https://www.uni-sofia.bg/index.php/bul/universitet_t/fakulteti/stopanski_fakultet/specialnosti/magist_rski_programi/stopanski_fakultet/specialnost_ikonomika/magist_rski_programi_za_ikonomisti/finansov_menidzhm_nt_na_anglijski_ezik</w:t>
      </w:r>
    </w:p>
  </w:footnote>
  <w:footnote w:id="5">
    <w:p w:rsidR="008E5CCF" w:rsidRDefault="008E5CCF" w:rsidP="008E5CCF">
      <w:pPr>
        <w:pStyle w:val="FootnoteText"/>
        <w:jc w:val="both"/>
        <w:rPr>
          <w:rFonts w:ascii="Times New Roman" w:hAnsi="Times New Roman" w:cs="Times New Roman"/>
          <w:lang w:val="bg-BG"/>
        </w:rPr>
      </w:pPr>
      <w:r>
        <w:rPr>
          <w:rStyle w:val="FootnoteReference"/>
        </w:rPr>
        <w:footnoteRef/>
      </w:r>
      <w:r w:rsidRPr="008E5CCF">
        <w:rPr>
          <w:lang w:val="ru-RU"/>
        </w:rPr>
        <w:t xml:space="preserve"> </w:t>
      </w:r>
      <w:r w:rsidRPr="00DA03C3">
        <w:rPr>
          <w:rFonts w:ascii="Times New Roman" w:hAnsi="Times New Roman" w:cs="Times New Roman"/>
          <w:lang w:val="bg-BG"/>
        </w:rPr>
        <w:t xml:space="preserve">Представянето на </w:t>
      </w:r>
      <w:r>
        <w:rPr>
          <w:rFonts w:ascii="Times New Roman" w:hAnsi="Times New Roman" w:cs="Times New Roman"/>
          <w:lang w:val="bg-BG"/>
        </w:rPr>
        <w:t>„</w:t>
      </w:r>
      <w:r w:rsidRPr="00DA03C3">
        <w:rPr>
          <w:rFonts w:ascii="Times New Roman" w:hAnsi="Times New Roman" w:cs="Times New Roman"/>
          <w:lang w:val="bg-BG"/>
        </w:rPr>
        <w:t>лидерите</w:t>
      </w:r>
      <w:r>
        <w:rPr>
          <w:rFonts w:ascii="Times New Roman" w:hAnsi="Times New Roman" w:cs="Times New Roman"/>
          <w:lang w:val="bg-BG"/>
        </w:rPr>
        <w:t>“</w:t>
      </w:r>
      <w:r w:rsidRPr="00DA03C3">
        <w:rPr>
          <w:rFonts w:ascii="Times New Roman" w:hAnsi="Times New Roman" w:cs="Times New Roman"/>
          <w:lang w:val="bg-BG"/>
        </w:rPr>
        <w:t xml:space="preserve"> е с 20% или повече над средното за ЕС27; </w:t>
      </w:r>
      <w:r>
        <w:rPr>
          <w:rFonts w:ascii="Times New Roman" w:hAnsi="Times New Roman" w:cs="Times New Roman"/>
          <w:lang w:val="bg-BG"/>
        </w:rPr>
        <w:t>п</w:t>
      </w:r>
      <w:r w:rsidRPr="00DA03C3">
        <w:rPr>
          <w:rFonts w:ascii="Times New Roman" w:hAnsi="Times New Roman" w:cs="Times New Roman"/>
          <w:lang w:val="bg-BG"/>
        </w:rPr>
        <w:t xml:space="preserve">редставянето на </w:t>
      </w:r>
      <w:r>
        <w:rPr>
          <w:rFonts w:ascii="Times New Roman" w:hAnsi="Times New Roman" w:cs="Times New Roman"/>
          <w:lang w:val="bg-BG"/>
        </w:rPr>
        <w:t>„</w:t>
      </w:r>
      <w:r w:rsidRPr="00DA03C3">
        <w:rPr>
          <w:rFonts w:ascii="Times New Roman" w:hAnsi="Times New Roman" w:cs="Times New Roman"/>
          <w:lang w:val="bg-BG"/>
        </w:rPr>
        <w:t>последователите</w:t>
      </w:r>
      <w:r>
        <w:rPr>
          <w:rFonts w:ascii="Times New Roman" w:hAnsi="Times New Roman" w:cs="Times New Roman"/>
          <w:lang w:val="bg-BG"/>
        </w:rPr>
        <w:t>“</w:t>
      </w:r>
      <w:r w:rsidRPr="00DA03C3">
        <w:rPr>
          <w:rFonts w:ascii="Times New Roman" w:hAnsi="Times New Roman" w:cs="Times New Roman"/>
          <w:lang w:val="bg-BG"/>
        </w:rPr>
        <w:t xml:space="preserve"> е с 20% над и повече от 10% под това на ЕС27; </w:t>
      </w:r>
      <w:r>
        <w:rPr>
          <w:rFonts w:ascii="Times New Roman" w:hAnsi="Times New Roman" w:cs="Times New Roman"/>
          <w:lang w:val="bg-BG"/>
        </w:rPr>
        <w:t>п</w:t>
      </w:r>
      <w:r w:rsidRPr="00DA03C3">
        <w:rPr>
          <w:rFonts w:ascii="Times New Roman" w:hAnsi="Times New Roman" w:cs="Times New Roman"/>
          <w:lang w:val="bg-BG"/>
        </w:rPr>
        <w:t xml:space="preserve">редставянето на </w:t>
      </w:r>
      <w:r>
        <w:rPr>
          <w:rFonts w:ascii="Times New Roman" w:hAnsi="Times New Roman" w:cs="Times New Roman"/>
          <w:lang w:val="bg-BG"/>
        </w:rPr>
        <w:t>„</w:t>
      </w:r>
      <w:r w:rsidRPr="00DA03C3">
        <w:rPr>
          <w:rFonts w:ascii="Times New Roman" w:hAnsi="Times New Roman" w:cs="Times New Roman"/>
          <w:lang w:val="bg-BG"/>
        </w:rPr>
        <w:t xml:space="preserve">умерените </w:t>
      </w:r>
      <w:proofErr w:type="spellStart"/>
      <w:r w:rsidRPr="00DA03C3">
        <w:rPr>
          <w:rFonts w:ascii="Times New Roman" w:hAnsi="Times New Roman" w:cs="Times New Roman"/>
          <w:lang w:val="bg-BG"/>
        </w:rPr>
        <w:t>иноватори</w:t>
      </w:r>
      <w:proofErr w:type="spellEnd"/>
      <w:r>
        <w:rPr>
          <w:rFonts w:ascii="Times New Roman" w:hAnsi="Times New Roman" w:cs="Times New Roman"/>
          <w:lang w:val="bg-BG"/>
        </w:rPr>
        <w:t>“</w:t>
      </w:r>
      <w:r w:rsidRPr="00DA03C3">
        <w:rPr>
          <w:rFonts w:ascii="Times New Roman" w:hAnsi="Times New Roman" w:cs="Times New Roman"/>
          <w:lang w:val="bg-BG"/>
        </w:rPr>
        <w:t xml:space="preserve"> възлиза от 90% до 50% от това на ЕС27; </w:t>
      </w:r>
      <w:r>
        <w:rPr>
          <w:rFonts w:ascii="Times New Roman" w:hAnsi="Times New Roman" w:cs="Times New Roman"/>
          <w:lang w:val="bg-BG"/>
        </w:rPr>
        <w:t>н</w:t>
      </w:r>
      <w:r w:rsidRPr="00DA03C3">
        <w:rPr>
          <w:rFonts w:ascii="Times New Roman" w:hAnsi="Times New Roman" w:cs="Times New Roman"/>
          <w:lang w:val="bg-BG"/>
        </w:rPr>
        <w:t xml:space="preserve">ивото на </w:t>
      </w:r>
      <w:r>
        <w:rPr>
          <w:rFonts w:ascii="Times New Roman" w:hAnsi="Times New Roman" w:cs="Times New Roman"/>
          <w:lang w:val="bg-BG"/>
        </w:rPr>
        <w:t>„</w:t>
      </w:r>
      <w:r w:rsidRPr="00DA03C3">
        <w:rPr>
          <w:rFonts w:ascii="Times New Roman" w:hAnsi="Times New Roman" w:cs="Times New Roman"/>
          <w:lang w:val="bg-BG"/>
        </w:rPr>
        <w:t xml:space="preserve">плахите </w:t>
      </w:r>
      <w:proofErr w:type="spellStart"/>
      <w:r w:rsidRPr="00DA03C3">
        <w:rPr>
          <w:rFonts w:ascii="Times New Roman" w:hAnsi="Times New Roman" w:cs="Times New Roman"/>
          <w:lang w:val="bg-BG"/>
        </w:rPr>
        <w:t>иноватори</w:t>
      </w:r>
      <w:proofErr w:type="spellEnd"/>
      <w:r>
        <w:rPr>
          <w:rFonts w:ascii="Times New Roman" w:hAnsi="Times New Roman" w:cs="Times New Roman"/>
          <w:lang w:val="bg-BG"/>
        </w:rPr>
        <w:t>“</w:t>
      </w:r>
      <w:r w:rsidRPr="00DA03C3">
        <w:rPr>
          <w:rFonts w:ascii="Times New Roman" w:hAnsi="Times New Roman" w:cs="Times New Roman"/>
          <w:lang w:val="bg-BG"/>
        </w:rPr>
        <w:t xml:space="preserve"> е под </w:t>
      </w:r>
      <w:r>
        <w:rPr>
          <w:rFonts w:ascii="Times New Roman" w:hAnsi="Times New Roman" w:cs="Times New Roman"/>
          <w:lang w:val="bg-BG"/>
        </w:rPr>
        <w:t xml:space="preserve">50% от това на ЕС27. </w:t>
      </w:r>
    </w:p>
    <w:p w:rsidR="008E5CCF" w:rsidRPr="00F92650" w:rsidRDefault="008E5CCF" w:rsidP="008E5CCF">
      <w:pPr>
        <w:pStyle w:val="FootnoteTex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bg-BG"/>
        </w:rPr>
        <w:t>Вж.:</w:t>
      </w:r>
      <w:r w:rsidRPr="00F92650">
        <w:rPr>
          <w:lang w:val="ru-RU"/>
        </w:rPr>
        <w:t xml:space="preserve"> </w:t>
      </w:r>
      <w:r w:rsidRPr="00DA03C3">
        <w:rPr>
          <w:rFonts w:ascii="Times New Roman" w:hAnsi="Times New Roman" w:cs="Times New Roman"/>
          <w:lang w:val="bg-BG"/>
        </w:rPr>
        <w:t>http://www.mi.government.bg/files/useruploads/files/innovations/scorebordeu2012.pdf</w:t>
      </w:r>
      <w:r>
        <w:rPr>
          <w:rFonts w:ascii="Times New Roman" w:hAnsi="Times New Roman" w:cs="Times New Roman"/>
          <w:lang w:val="bg-BG"/>
        </w:rPr>
        <w:t>.</w:t>
      </w:r>
    </w:p>
    <w:p w:rsidR="008E5CCF" w:rsidRPr="008E5CCF" w:rsidRDefault="008E5CCF">
      <w:pPr>
        <w:pStyle w:val="FootnoteText"/>
        <w:rPr>
          <w:lang w:val="ru-RU"/>
        </w:rPr>
      </w:pPr>
    </w:p>
  </w:footnote>
  <w:footnote w:id="6">
    <w:p w:rsidR="00406946" w:rsidRPr="00406946" w:rsidRDefault="00406946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 w:rsidRPr="00406946">
        <w:rPr>
          <w:lang w:val="ru-RU"/>
        </w:rPr>
        <w:t xml:space="preserve"> </w:t>
      </w:r>
      <w:r>
        <w:rPr>
          <w:lang w:val="bg-BG"/>
        </w:rPr>
        <w:t xml:space="preserve">Вж.: </w:t>
      </w:r>
      <w:r w:rsidRPr="00406946">
        <w:t>http</w:t>
      </w:r>
      <w:r w:rsidRPr="00406946">
        <w:rPr>
          <w:lang w:val="ru-RU"/>
        </w:rPr>
        <w:t>://</w:t>
      </w:r>
      <w:r w:rsidRPr="00406946">
        <w:t>www</w:t>
      </w:r>
      <w:r w:rsidRPr="00406946">
        <w:rPr>
          <w:lang w:val="ru-RU"/>
        </w:rPr>
        <w:t>.</w:t>
      </w:r>
      <w:r w:rsidRPr="00406946">
        <w:t>google</w:t>
      </w:r>
      <w:r w:rsidRPr="00406946">
        <w:rPr>
          <w:lang w:val="ru-RU"/>
        </w:rPr>
        <w:t>.</w:t>
      </w:r>
      <w:proofErr w:type="spellStart"/>
      <w:r w:rsidRPr="00406946">
        <w:t>bg</w:t>
      </w:r>
      <w:proofErr w:type="spellEnd"/>
      <w:r w:rsidRPr="00406946">
        <w:rPr>
          <w:lang w:val="ru-RU"/>
        </w:rPr>
        <w:t>/</w:t>
      </w:r>
      <w:proofErr w:type="spellStart"/>
      <w:r w:rsidRPr="00406946">
        <w:t>url</w:t>
      </w:r>
      <w:proofErr w:type="spellEnd"/>
      <w:r w:rsidRPr="00406946">
        <w:rPr>
          <w:lang w:val="ru-RU"/>
        </w:rPr>
        <w:t>?</w:t>
      </w:r>
      <w:proofErr w:type="spellStart"/>
      <w:r w:rsidRPr="00406946">
        <w:t>sa</w:t>
      </w:r>
      <w:proofErr w:type="spellEnd"/>
      <w:r w:rsidRPr="00406946">
        <w:rPr>
          <w:lang w:val="ru-RU"/>
        </w:rPr>
        <w:t>=</w:t>
      </w:r>
      <w:r w:rsidRPr="00406946">
        <w:t>t</w:t>
      </w:r>
      <w:r w:rsidRPr="00406946">
        <w:rPr>
          <w:lang w:val="ru-RU"/>
        </w:rPr>
        <w:t>&amp;</w:t>
      </w:r>
      <w:proofErr w:type="spellStart"/>
      <w:r w:rsidRPr="00406946">
        <w:t>rct</w:t>
      </w:r>
      <w:proofErr w:type="spellEnd"/>
      <w:r w:rsidRPr="00406946">
        <w:rPr>
          <w:lang w:val="ru-RU"/>
        </w:rPr>
        <w:t>=</w:t>
      </w:r>
      <w:r w:rsidRPr="00406946">
        <w:t>j</w:t>
      </w:r>
      <w:r w:rsidRPr="00406946">
        <w:rPr>
          <w:lang w:val="ru-RU"/>
        </w:rPr>
        <w:t>&amp;</w:t>
      </w:r>
      <w:r w:rsidRPr="00406946">
        <w:t>q</w:t>
      </w:r>
      <w:r w:rsidRPr="00406946">
        <w:rPr>
          <w:lang w:val="ru-RU"/>
        </w:rPr>
        <w:t>=&amp;</w:t>
      </w:r>
      <w:proofErr w:type="spellStart"/>
      <w:r w:rsidRPr="00406946">
        <w:t>esrc</w:t>
      </w:r>
      <w:proofErr w:type="spellEnd"/>
      <w:r w:rsidRPr="00406946">
        <w:rPr>
          <w:lang w:val="ru-RU"/>
        </w:rPr>
        <w:t>=</w:t>
      </w:r>
      <w:r w:rsidRPr="00406946">
        <w:t>s</w:t>
      </w:r>
      <w:r w:rsidRPr="00406946">
        <w:rPr>
          <w:lang w:val="ru-RU"/>
        </w:rPr>
        <w:t>&amp;</w:t>
      </w:r>
      <w:r w:rsidRPr="00406946">
        <w:t>source</w:t>
      </w:r>
      <w:r w:rsidRPr="00406946">
        <w:rPr>
          <w:lang w:val="ru-RU"/>
        </w:rPr>
        <w:t>=</w:t>
      </w:r>
      <w:r w:rsidRPr="00406946">
        <w:t>web</w:t>
      </w:r>
      <w:r w:rsidRPr="00406946">
        <w:rPr>
          <w:lang w:val="ru-RU"/>
        </w:rPr>
        <w:t>&amp;</w:t>
      </w:r>
      <w:r w:rsidRPr="00406946">
        <w:t>cd</w:t>
      </w:r>
      <w:r w:rsidRPr="00406946">
        <w:rPr>
          <w:lang w:val="ru-RU"/>
        </w:rPr>
        <w:t>=7&amp;</w:t>
      </w:r>
      <w:proofErr w:type="spellStart"/>
      <w:r w:rsidRPr="00406946">
        <w:t>ved</w:t>
      </w:r>
      <w:proofErr w:type="spellEnd"/>
      <w:r w:rsidRPr="00406946">
        <w:rPr>
          <w:lang w:val="ru-RU"/>
        </w:rPr>
        <w:t>=0</w:t>
      </w:r>
      <w:proofErr w:type="spellStart"/>
      <w:r w:rsidRPr="00406946">
        <w:t>CFIQFjAG</w:t>
      </w:r>
      <w:proofErr w:type="spellEnd"/>
      <w:r w:rsidRPr="00406946">
        <w:rPr>
          <w:lang w:val="ru-RU"/>
        </w:rPr>
        <w:t>&amp;</w:t>
      </w:r>
      <w:proofErr w:type="spellStart"/>
      <w:r w:rsidRPr="00406946">
        <w:t>url</w:t>
      </w:r>
      <w:proofErr w:type="spellEnd"/>
      <w:r w:rsidRPr="00406946">
        <w:rPr>
          <w:lang w:val="ru-RU"/>
        </w:rPr>
        <w:t>=</w:t>
      </w:r>
      <w:r w:rsidRPr="00406946">
        <w:t>http</w:t>
      </w:r>
      <w:r w:rsidRPr="00406946">
        <w:rPr>
          <w:lang w:val="ru-RU"/>
        </w:rPr>
        <w:t>%3</w:t>
      </w:r>
      <w:r w:rsidRPr="00406946">
        <w:t>A</w:t>
      </w:r>
      <w:r w:rsidRPr="00406946">
        <w:rPr>
          <w:lang w:val="ru-RU"/>
        </w:rPr>
        <w:t>%2</w:t>
      </w:r>
      <w:r w:rsidRPr="00406946">
        <w:t>F</w:t>
      </w:r>
      <w:r w:rsidRPr="00406946">
        <w:rPr>
          <w:lang w:val="ru-RU"/>
        </w:rPr>
        <w:t>%2</w:t>
      </w:r>
      <w:proofErr w:type="spellStart"/>
      <w:r w:rsidRPr="00406946">
        <w:t>Fwww</w:t>
      </w:r>
      <w:proofErr w:type="spellEnd"/>
      <w:r w:rsidRPr="00406946">
        <w:rPr>
          <w:lang w:val="ru-RU"/>
        </w:rPr>
        <w:t>.</w:t>
      </w:r>
      <w:proofErr w:type="spellStart"/>
      <w:r w:rsidRPr="00406946">
        <w:t>aston</w:t>
      </w:r>
      <w:proofErr w:type="spellEnd"/>
      <w:r w:rsidRPr="00406946">
        <w:rPr>
          <w:lang w:val="ru-RU"/>
        </w:rPr>
        <w:t>.</w:t>
      </w:r>
      <w:r w:rsidRPr="00406946">
        <w:t>ac</w:t>
      </w:r>
      <w:r w:rsidRPr="00406946">
        <w:rPr>
          <w:lang w:val="ru-RU"/>
        </w:rPr>
        <w:t>.</w:t>
      </w:r>
      <w:proofErr w:type="spellStart"/>
      <w:r w:rsidRPr="00406946">
        <w:t>uk</w:t>
      </w:r>
      <w:proofErr w:type="spellEnd"/>
      <w:r w:rsidRPr="00406946">
        <w:rPr>
          <w:lang w:val="ru-RU"/>
        </w:rPr>
        <w:t>%2</w:t>
      </w:r>
      <w:proofErr w:type="spellStart"/>
      <w:r w:rsidRPr="00406946">
        <w:t>FEasySiteWeb</w:t>
      </w:r>
      <w:proofErr w:type="spellEnd"/>
      <w:r w:rsidRPr="00406946">
        <w:rPr>
          <w:lang w:val="ru-RU"/>
        </w:rPr>
        <w:t>%2</w:t>
      </w:r>
      <w:proofErr w:type="spellStart"/>
      <w:r w:rsidRPr="00406946">
        <w:t>FGatewayLink</w:t>
      </w:r>
      <w:proofErr w:type="spellEnd"/>
      <w:r w:rsidRPr="00406946">
        <w:rPr>
          <w:lang w:val="ru-RU"/>
        </w:rPr>
        <w:t>.</w:t>
      </w:r>
      <w:proofErr w:type="spellStart"/>
      <w:r w:rsidRPr="00406946">
        <w:t>aspx</w:t>
      </w:r>
      <w:proofErr w:type="spellEnd"/>
      <w:r w:rsidRPr="00406946">
        <w:rPr>
          <w:lang w:val="ru-RU"/>
        </w:rPr>
        <w:t>%3</w:t>
      </w:r>
      <w:proofErr w:type="spellStart"/>
      <w:r w:rsidRPr="00406946">
        <w:t>FalId</w:t>
      </w:r>
      <w:proofErr w:type="spellEnd"/>
      <w:r w:rsidRPr="00406946">
        <w:rPr>
          <w:lang w:val="ru-RU"/>
        </w:rPr>
        <w:t>%3</w:t>
      </w:r>
      <w:r w:rsidRPr="00406946">
        <w:t>D</w:t>
      </w:r>
      <w:r w:rsidRPr="00406946">
        <w:rPr>
          <w:lang w:val="ru-RU"/>
        </w:rPr>
        <w:t>172974&amp;</w:t>
      </w:r>
      <w:proofErr w:type="spellStart"/>
      <w:r w:rsidRPr="00406946">
        <w:t>ei</w:t>
      </w:r>
      <w:proofErr w:type="spellEnd"/>
      <w:r w:rsidRPr="00406946">
        <w:rPr>
          <w:lang w:val="ru-RU"/>
        </w:rPr>
        <w:t>=</w:t>
      </w:r>
      <w:proofErr w:type="spellStart"/>
      <w:r w:rsidRPr="00406946">
        <w:t>lgC</w:t>
      </w:r>
      <w:proofErr w:type="spellEnd"/>
      <w:r w:rsidRPr="00406946">
        <w:rPr>
          <w:lang w:val="ru-RU"/>
        </w:rPr>
        <w:t>9</w:t>
      </w:r>
      <w:r w:rsidRPr="00406946">
        <w:t>U</w:t>
      </w:r>
      <w:r w:rsidRPr="00406946">
        <w:rPr>
          <w:lang w:val="ru-RU"/>
        </w:rPr>
        <w:t>-</w:t>
      </w:r>
      <w:proofErr w:type="spellStart"/>
      <w:r w:rsidRPr="00406946">
        <w:t>azJ</w:t>
      </w:r>
      <w:proofErr w:type="spellEnd"/>
      <w:r w:rsidRPr="00406946">
        <w:rPr>
          <w:lang w:val="ru-RU"/>
        </w:rPr>
        <w:t>6</w:t>
      </w:r>
      <w:r w:rsidRPr="00406946">
        <w:t>q</w:t>
      </w:r>
      <w:r w:rsidRPr="00406946">
        <w:rPr>
          <w:lang w:val="ru-RU"/>
        </w:rPr>
        <w:t>7</w:t>
      </w:r>
      <w:proofErr w:type="spellStart"/>
      <w:r w:rsidRPr="00406946">
        <w:t>ygPCg</w:t>
      </w:r>
      <w:proofErr w:type="spellEnd"/>
      <w:r w:rsidRPr="00406946">
        <w:rPr>
          <w:lang w:val="ru-RU"/>
        </w:rPr>
        <w:t>4</w:t>
      </w:r>
      <w:r w:rsidRPr="00406946">
        <w:t>KIDQ</w:t>
      </w:r>
      <w:r w:rsidRPr="00406946">
        <w:rPr>
          <w:lang w:val="ru-RU"/>
        </w:rPr>
        <w:t>&amp;</w:t>
      </w:r>
      <w:proofErr w:type="spellStart"/>
      <w:r w:rsidRPr="00406946">
        <w:t>usg</w:t>
      </w:r>
      <w:proofErr w:type="spellEnd"/>
      <w:r w:rsidRPr="00406946">
        <w:rPr>
          <w:lang w:val="ru-RU"/>
        </w:rPr>
        <w:t>=</w:t>
      </w:r>
      <w:proofErr w:type="spellStart"/>
      <w:r w:rsidRPr="00406946">
        <w:t>AFQjCNEnRBwZe</w:t>
      </w:r>
      <w:proofErr w:type="spellEnd"/>
      <w:r w:rsidRPr="00406946">
        <w:rPr>
          <w:lang w:val="ru-RU"/>
        </w:rPr>
        <w:t>-7</w:t>
      </w:r>
      <w:proofErr w:type="spellStart"/>
      <w:r w:rsidRPr="00406946">
        <w:t>EePTQh</w:t>
      </w:r>
      <w:proofErr w:type="spellEnd"/>
      <w:r w:rsidRPr="00406946">
        <w:rPr>
          <w:lang w:val="ru-RU"/>
        </w:rPr>
        <w:t>7</w:t>
      </w:r>
      <w:r w:rsidRPr="00406946">
        <w:t>z</w:t>
      </w:r>
      <w:r w:rsidRPr="00406946">
        <w:rPr>
          <w:lang w:val="ru-RU"/>
        </w:rPr>
        <w:t>0</w:t>
      </w:r>
      <w:proofErr w:type="spellStart"/>
      <w:r w:rsidRPr="00406946">
        <w:t>qm</w:t>
      </w:r>
      <w:proofErr w:type="spellEnd"/>
      <w:r w:rsidRPr="00406946">
        <w:rPr>
          <w:lang w:val="ru-RU"/>
        </w:rPr>
        <w:t>2</w:t>
      </w:r>
      <w:proofErr w:type="spellStart"/>
      <w:r w:rsidRPr="00406946">
        <w:t>SmlnHTQ</w:t>
      </w:r>
      <w:proofErr w:type="spellEnd"/>
      <w:r>
        <w:rPr>
          <w:lang w:val="bg-BG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C2B3D"/>
    <w:multiLevelType w:val="hybridMultilevel"/>
    <w:tmpl w:val="EBF0F4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161F91"/>
    <w:multiLevelType w:val="hybridMultilevel"/>
    <w:tmpl w:val="6736FEBE"/>
    <w:lvl w:ilvl="0" w:tplc="58B0AEC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ascii="Calibri" w:hAnsi="Calibri" w:cs="Bodoni MT Condensed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79"/>
    <w:rsid w:val="000077AE"/>
    <w:rsid w:val="00016BA2"/>
    <w:rsid w:val="00031E7D"/>
    <w:rsid w:val="00032533"/>
    <w:rsid w:val="00034860"/>
    <w:rsid w:val="00074173"/>
    <w:rsid w:val="00075FAF"/>
    <w:rsid w:val="000831E9"/>
    <w:rsid w:val="000911F7"/>
    <w:rsid w:val="000D176A"/>
    <w:rsid w:val="000D338B"/>
    <w:rsid w:val="000E1841"/>
    <w:rsid w:val="00100929"/>
    <w:rsid w:val="00106030"/>
    <w:rsid w:val="00113B04"/>
    <w:rsid w:val="00131B9C"/>
    <w:rsid w:val="001329CC"/>
    <w:rsid w:val="001534FC"/>
    <w:rsid w:val="0015729E"/>
    <w:rsid w:val="001758A0"/>
    <w:rsid w:val="00186023"/>
    <w:rsid w:val="00194599"/>
    <w:rsid w:val="001D0D26"/>
    <w:rsid w:val="001D0F73"/>
    <w:rsid w:val="001D3C75"/>
    <w:rsid w:val="001D7D25"/>
    <w:rsid w:val="00203786"/>
    <w:rsid w:val="00205E89"/>
    <w:rsid w:val="00207F23"/>
    <w:rsid w:val="00230497"/>
    <w:rsid w:val="00230B9A"/>
    <w:rsid w:val="00230CC6"/>
    <w:rsid w:val="002A7C89"/>
    <w:rsid w:val="002B20DF"/>
    <w:rsid w:val="002D58BB"/>
    <w:rsid w:val="002F2A3D"/>
    <w:rsid w:val="002F50E6"/>
    <w:rsid w:val="00333A65"/>
    <w:rsid w:val="00334718"/>
    <w:rsid w:val="0035183A"/>
    <w:rsid w:val="0036646B"/>
    <w:rsid w:val="0037578A"/>
    <w:rsid w:val="00376564"/>
    <w:rsid w:val="00384178"/>
    <w:rsid w:val="003E3A85"/>
    <w:rsid w:val="003E71CA"/>
    <w:rsid w:val="00401491"/>
    <w:rsid w:val="00406946"/>
    <w:rsid w:val="00442D6E"/>
    <w:rsid w:val="004454FD"/>
    <w:rsid w:val="00450225"/>
    <w:rsid w:val="004540FA"/>
    <w:rsid w:val="004708BD"/>
    <w:rsid w:val="00475F72"/>
    <w:rsid w:val="00492580"/>
    <w:rsid w:val="00497695"/>
    <w:rsid w:val="004A44CC"/>
    <w:rsid w:val="004B47C9"/>
    <w:rsid w:val="004F061C"/>
    <w:rsid w:val="0050313C"/>
    <w:rsid w:val="0053544E"/>
    <w:rsid w:val="005367D2"/>
    <w:rsid w:val="0053722D"/>
    <w:rsid w:val="005415D6"/>
    <w:rsid w:val="005475A8"/>
    <w:rsid w:val="00585565"/>
    <w:rsid w:val="005927B0"/>
    <w:rsid w:val="00592AD5"/>
    <w:rsid w:val="00594099"/>
    <w:rsid w:val="005B7527"/>
    <w:rsid w:val="005E02A8"/>
    <w:rsid w:val="005E0CE8"/>
    <w:rsid w:val="005F3713"/>
    <w:rsid w:val="005F6C78"/>
    <w:rsid w:val="00614A3C"/>
    <w:rsid w:val="006408C0"/>
    <w:rsid w:val="00647CAA"/>
    <w:rsid w:val="00670914"/>
    <w:rsid w:val="006A1937"/>
    <w:rsid w:val="006E1735"/>
    <w:rsid w:val="00750F78"/>
    <w:rsid w:val="007633A7"/>
    <w:rsid w:val="00770178"/>
    <w:rsid w:val="00771CAD"/>
    <w:rsid w:val="007825D0"/>
    <w:rsid w:val="007B373F"/>
    <w:rsid w:val="007B6C83"/>
    <w:rsid w:val="008168E4"/>
    <w:rsid w:val="00832555"/>
    <w:rsid w:val="008342D8"/>
    <w:rsid w:val="008863E8"/>
    <w:rsid w:val="008A393C"/>
    <w:rsid w:val="008D4966"/>
    <w:rsid w:val="008E5CCF"/>
    <w:rsid w:val="00900925"/>
    <w:rsid w:val="00935901"/>
    <w:rsid w:val="009850BB"/>
    <w:rsid w:val="00985AD4"/>
    <w:rsid w:val="00994605"/>
    <w:rsid w:val="009B0879"/>
    <w:rsid w:val="009B1F7D"/>
    <w:rsid w:val="009B298B"/>
    <w:rsid w:val="009E0723"/>
    <w:rsid w:val="00A36919"/>
    <w:rsid w:val="00A74FCF"/>
    <w:rsid w:val="00A77E1A"/>
    <w:rsid w:val="00AA0F2D"/>
    <w:rsid w:val="00AB2629"/>
    <w:rsid w:val="00AC265A"/>
    <w:rsid w:val="00AC2A9C"/>
    <w:rsid w:val="00AD42C6"/>
    <w:rsid w:val="00B13CF3"/>
    <w:rsid w:val="00B20AC0"/>
    <w:rsid w:val="00B25C80"/>
    <w:rsid w:val="00B51361"/>
    <w:rsid w:val="00B63E5C"/>
    <w:rsid w:val="00B71628"/>
    <w:rsid w:val="00B72B77"/>
    <w:rsid w:val="00B73B09"/>
    <w:rsid w:val="00B774FC"/>
    <w:rsid w:val="00B833C2"/>
    <w:rsid w:val="00BA3228"/>
    <w:rsid w:val="00BC5F54"/>
    <w:rsid w:val="00BD441A"/>
    <w:rsid w:val="00BD56AA"/>
    <w:rsid w:val="00BF3D56"/>
    <w:rsid w:val="00BF79BE"/>
    <w:rsid w:val="00C0335B"/>
    <w:rsid w:val="00C348B1"/>
    <w:rsid w:val="00C4356A"/>
    <w:rsid w:val="00C96BFA"/>
    <w:rsid w:val="00CE4DFE"/>
    <w:rsid w:val="00D1354E"/>
    <w:rsid w:val="00D27BC3"/>
    <w:rsid w:val="00D34687"/>
    <w:rsid w:val="00D42CE2"/>
    <w:rsid w:val="00D96EC7"/>
    <w:rsid w:val="00DB11FC"/>
    <w:rsid w:val="00DB5F52"/>
    <w:rsid w:val="00DD4839"/>
    <w:rsid w:val="00DE2171"/>
    <w:rsid w:val="00DE7115"/>
    <w:rsid w:val="00DF1E4F"/>
    <w:rsid w:val="00E06CA7"/>
    <w:rsid w:val="00E075E7"/>
    <w:rsid w:val="00E16F3A"/>
    <w:rsid w:val="00E25108"/>
    <w:rsid w:val="00E404FB"/>
    <w:rsid w:val="00E42221"/>
    <w:rsid w:val="00E4777A"/>
    <w:rsid w:val="00E53585"/>
    <w:rsid w:val="00E83411"/>
    <w:rsid w:val="00EE1EF6"/>
    <w:rsid w:val="00EE32E3"/>
    <w:rsid w:val="00F00979"/>
    <w:rsid w:val="00F23A1B"/>
    <w:rsid w:val="00F32EB7"/>
    <w:rsid w:val="00F619FA"/>
    <w:rsid w:val="00F72209"/>
    <w:rsid w:val="00FA58F4"/>
    <w:rsid w:val="00FC4B07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86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63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63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3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3E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4D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D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4DF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C2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A9C"/>
  </w:style>
  <w:style w:type="paragraph" w:styleId="Footer">
    <w:name w:val="footer"/>
    <w:basedOn w:val="Normal"/>
    <w:link w:val="FooterChar"/>
    <w:uiPriority w:val="99"/>
    <w:unhideWhenUsed/>
    <w:rsid w:val="00AC2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A9C"/>
  </w:style>
  <w:style w:type="character" w:styleId="Hyperlink">
    <w:name w:val="Hyperlink"/>
    <w:basedOn w:val="DefaultParagraphFont"/>
    <w:uiPriority w:val="99"/>
    <w:unhideWhenUsed/>
    <w:rsid w:val="00AC2A9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30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E21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86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63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63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3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3E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4D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D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4DF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C2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A9C"/>
  </w:style>
  <w:style w:type="paragraph" w:styleId="Footer">
    <w:name w:val="footer"/>
    <w:basedOn w:val="Normal"/>
    <w:link w:val="FooterChar"/>
    <w:uiPriority w:val="99"/>
    <w:unhideWhenUsed/>
    <w:rsid w:val="00AC2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A9C"/>
  </w:style>
  <w:style w:type="character" w:styleId="Hyperlink">
    <w:name w:val="Hyperlink"/>
    <w:basedOn w:val="DefaultParagraphFont"/>
    <w:uiPriority w:val="99"/>
    <w:unhideWhenUsed/>
    <w:rsid w:val="00AC2A9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30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E21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economywatch.com/economic-statistics/country/Bulgaria/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pp.eurostat.ec.europa.eu/cache/ITY_PUBLIC/2-16062014-BP/EN/2-16062014-BP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4A883-C844-4C4A-9491-211F886A0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5832</Words>
  <Characters>33243</Characters>
  <Application>Microsoft Office Word</Application>
  <DocSecurity>0</DocSecurity>
  <Lines>277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2</cp:revision>
  <dcterms:created xsi:type="dcterms:W3CDTF">2014-07-09T11:09:00Z</dcterms:created>
  <dcterms:modified xsi:type="dcterms:W3CDTF">2014-07-09T11:09:00Z</dcterms:modified>
</cp:coreProperties>
</file>